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CB983" w14:textId="763E3588" w:rsidR="007728E9" w:rsidRDefault="003C41C7" w:rsidP="003C41C7">
      <w:pPr>
        <w:jc w:val="center"/>
        <w:rPr>
          <w:rFonts w:ascii="Calibri" w:hAnsi="Calibri" w:cs="Calibri"/>
          <w:b/>
          <w:bCs/>
          <w:sz w:val="22"/>
          <w:szCs w:val="22"/>
        </w:rPr>
      </w:pPr>
      <w:r>
        <w:rPr>
          <w:rFonts w:ascii="Calibri" w:hAnsi="Calibri" w:cs="Calibri"/>
          <w:b/>
          <w:bCs/>
          <w:sz w:val="22"/>
          <w:szCs w:val="22"/>
        </w:rPr>
        <w:t xml:space="preserve">LMA SME </w:t>
      </w:r>
      <w:r w:rsidR="00081CC5">
        <w:rPr>
          <w:rFonts w:ascii="Calibri" w:hAnsi="Calibri" w:cs="Calibri"/>
          <w:b/>
          <w:bCs/>
          <w:sz w:val="22"/>
          <w:szCs w:val="22"/>
        </w:rPr>
        <w:t xml:space="preserve">Loan </w:t>
      </w:r>
      <w:r>
        <w:rPr>
          <w:rFonts w:ascii="Calibri" w:hAnsi="Calibri" w:cs="Calibri"/>
          <w:b/>
          <w:bCs/>
          <w:sz w:val="22"/>
          <w:szCs w:val="22"/>
        </w:rPr>
        <w:t>Financing Taskforce</w:t>
      </w:r>
    </w:p>
    <w:p w14:paraId="4BD69C94" w14:textId="2A48D06B" w:rsidR="003C41C7" w:rsidRDefault="003C41C7" w:rsidP="003C41C7">
      <w:pPr>
        <w:jc w:val="center"/>
        <w:rPr>
          <w:rFonts w:ascii="Calibri" w:hAnsi="Calibri" w:cs="Calibri"/>
          <w:b/>
          <w:bCs/>
          <w:sz w:val="22"/>
          <w:szCs w:val="22"/>
        </w:rPr>
      </w:pPr>
      <w:r>
        <w:rPr>
          <w:rFonts w:ascii="Calibri" w:hAnsi="Calibri" w:cs="Calibri"/>
          <w:b/>
          <w:bCs/>
          <w:sz w:val="22"/>
          <w:szCs w:val="22"/>
        </w:rPr>
        <w:t>Terms of Reference</w:t>
      </w:r>
    </w:p>
    <w:p w14:paraId="3DBEA5E6" w14:textId="77777777" w:rsidR="00734A3C" w:rsidRDefault="00734A3C" w:rsidP="003C41C7">
      <w:pPr>
        <w:jc w:val="both"/>
        <w:rPr>
          <w:rFonts w:ascii="Calibri" w:hAnsi="Calibri" w:cs="Calibri"/>
          <w:b/>
          <w:bCs/>
          <w:sz w:val="22"/>
          <w:szCs w:val="22"/>
        </w:rPr>
      </w:pPr>
      <w:r>
        <w:rPr>
          <w:rFonts w:ascii="Calibri" w:hAnsi="Calibri" w:cs="Calibri"/>
          <w:b/>
          <w:bCs/>
          <w:sz w:val="22"/>
          <w:szCs w:val="22"/>
        </w:rPr>
        <w:t>Background and Rationale</w:t>
      </w:r>
    </w:p>
    <w:p w14:paraId="53DFC259" w14:textId="2419911B" w:rsidR="00AA2B1D" w:rsidRPr="00AA2B1D" w:rsidRDefault="00AA2B1D" w:rsidP="005410EA">
      <w:pPr>
        <w:jc w:val="both"/>
        <w:rPr>
          <w:rFonts w:ascii="Calibri" w:hAnsi="Calibri" w:cs="Calibri"/>
          <w:sz w:val="22"/>
          <w:szCs w:val="22"/>
        </w:rPr>
      </w:pPr>
      <w:r w:rsidRPr="00AA2B1D">
        <w:rPr>
          <w:rFonts w:ascii="Calibri" w:hAnsi="Calibri" w:cs="Calibri"/>
          <w:sz w:val="22"/>
          <w:szCs w:val="22"/>
        </w:rPr>
        <w:t>Small and medium-sized enterprises (</w:t>
      </w:r>
      <w:r w:rsidRPr="00AA2B1D">
        <w:rPr>
          <w:rFonts w:ascii="Calibri" w:hAnsi="Calibri" w:cs="Calibri"/>
          <w:i/>
          <w:iCs/>
          <w:sz w:val="22"/>
          <w:szCs w:val="22"/>
        </w:rPr>
        <w:t>SMEs</w:t>
      </w:r>
      <w:r w:rsidRPr="00AA2B1D">
        <w:rPr>
          <w:rFonts w:ascii="Calibri" w:hAnsi="Calibri" w:cs="Calibri"/>
          <w:sz w:val="22"/>
          <w:szCs w:val="22"/>
        </w:rPr>
        <w:t xml:space="preserve">) are a vital part of the global economy, yet they often face significant barriers to accessing sustainability-labelled finance due to limited internal resources, reporting capacity, and familiarity with </w:t>
      </w:r>
      <w:r w:rsidRPr="00B85C16">
        <w:rPr>
          <w:rFonts w:ascii="Calibri" w:hAnsi="Calibri" w:cs="Calibri"/>
          <w:sz w:val="22"/>
          <w:szCs w:val="22"/>
        </w:rPr>
        <w:t xml:space="preserve">sustainability </w:t>
      </w:r>
      <w:r w:rsidRPr="00AA2B1D">
        <w:rPr>
          <w:rFonts w:ascii="Calibri" w:hAnsi="Calibri" w:cs="Calibri"/>
          <w:sz w:val="22"/>
          <w:szCs w:val="22"/>
        </w:rPr>
        <w:t>frameworks. At the same time, lenders and investors are increasingly seeking credible, robust application of Green, Social, and Sustainability-Linked Loan (</w:t>
      </w:r>
      <w:r w:rsidRPr="00AA2B1D">
        <w:rPr>
          <w:rFonts w:ascii="Calibri" w:hAnsi="Calibri" w:cs="Calibri"/>
          <w:i/>
          <w:iCs/>
          <w:sz w:val="22"/>
          <w:szCs w:val="22"/>
        </w:rPr>
        <w:t>GSSL</w:t>
      </w:r>
      <w:r w:rsidRPr="00AA2B1D">
        <w:rPr>
          <w:rFonts w:ascii="Calibri" w:hAnsi="Calibri" w:cs="Calibri"/>
          <w:sz w:val="22"/>
          <w:szCs w:val="22"/>
        </w:rPr>
        <w:t>) Principles, creating a gap between market expectations and SME capabilities.</w:t>
      </w:r>
    </w:p>
    <w:p w14:paraId="4A2FBD0D" w14:textId="1B1F22DC" w:rsidR="00AA2B1D" w:rsidRPr="00AA2B1D" w:rsidRDefault="00AA2B1D" w:rsidP="00AA2B1D">
      <w:pPr>
        <w:jc w:val="both"/>
        <w:rPr>
          <w:rFonts w:ascii="Calibri" w:hAnsi="Calibri" w:cs="Calibri"/>
          <w:sz w:val="22"/>
          <w:szCs w:val="22"/>
        </w:rPr>
      </w:pPr>
      <w:r w:rsidRPr="00AA2B1D">
        <w:rPr>
          <w:rFonts w:ascii="Calibri" w:hAnsi="Calibri" w:cs="Calibri"/>
          <w:sz w:val="22"/>
          <w:szCs w:val="22"/>
        </w:rPr>
        <w:t>The LMA SME Financing Taskforce is being established to address this gap by producing practical guidance that enables SMEs to participate in sustainability-</w:t>
      </w:r>
      <w:r w:rsidR="00EB103D">
        <w:rPr>
          <w:rFonts w:ascii="Calibri" w:hAnsi="Calibri" w:cs="Calibri"/>
          <w:sz w:val="22"/>
          <w:szCs w:val="22"/>
        </w:rPr>
        <w:t>labelled</w:t>
      </w:r>
      <w:r w:rsidRPr="00AA2B1D">
        <w:rPr>
          <w:rFonts w:ascii="Calibri" w:hAnsi="Calibri" w:cs="Calibri"/>
          <w:sz w:val="22"/>
          <w:szCs w:val="22"/>
        </w:rPr>
        <w:t xml:space="preserve"> finance, while ensuring alignment with existing regulatory and market-driven initiatives. By fostering clarity, consistency, and applicability across different markets</w:t>
      </w:r>
      <w:r w:rsidR="00B85C16" w:rsidRPr="00B85C16">
        <w:rPr>
          <w:rFonts w:ascii="Calibri" w:hAnsi="Calibri" w:cs="Calibri"/>
          <w:sz w:val="22"/>
          <w:szCs w:val="22"/>
        </w:rPr>
        <w:t xml:space="preserve">, </w:t>
      </w:r>
      <w:r w:rsidRPr="00AA2B1D">
        <w:rPr>
          <w:rFonts w:ascii="Calibri" w:hAnsi="Calibri" w:cs="Calibri"/>
          <w:sz w:val="22"/>
          <w:szCs w:val="22"/>
        </w:rPr>
        <w:t>the Taskforce aims to facilitate broader adoption of sustainable finance instruments, support real economy engagement, and maintain the integrity and credibility of the GSSL Principles.</w:t>
      </w:r>
    </w:p>
    <w:p w14:paraId="5E52ACC3" w14:textId="48A4CC8D" w:rsidR="004617F3" w:rsidRDefault="004617F3" w:rsidP="00A86046">
      <w:pPr>
        <w:jc w:val="both"/>
        <w:rPr>
          <w:rFonts w:ascii="Calibri" w:hAnsi="Calibri" w:cs="Calibri"/>
          <w:b/>
          <w:bCs/>
          <w:sz w:val="22"/>
          <w:szCs w:val="22"/>
        </w:rPr>
      </w:pPr>
      <w:r>
        <w:rPr>
          <w:rFonts w:ascii="Calibri" w:hAnsi="Calibri" w:cs="Calibri"/>
          <w:b/>
          <w:bCs/>
          <w:sz w:val="22"/>
          <w:szCs w:val="22"/>
        </w:rPr>
        <w:t xml:space="preserve">Key </w:t>
      </w:r>
      <w:r w:rsidR="00A86046">
        <w:rPr>
          <w:rFonts w:ascii="Calibri" w:hAnsi="Calibri" w:cs="Calibri"/>
          <w:b/>
          <w:bCs/>
          <w:sz w:val="22"/>
          <w:szCs w:val="22"/>
        </w:rPr>
        <w:t>O</w:t>
      </w:r>
      <w:r>
        <w:rPr>
          <w:rFonts w:ascii="Calibri" w:hAnsi="Calibri" w:cs="Calibri"/>
          <w:b/>
          <w:bCs/>
          <w:sz w:val="22"/>
          <w:szCs w:val="22"/>
        </w:rPr>
        <w:t>bjectives</w:t>
      </w:r>
    </w:p>
    <w:p w14:paraId="31BC3F69" w14:textId="77777777" w:rsidR="00417C97" w:rsidRPr="00417C97" w:rsidRDefault="00417C97" w:rsidP="00417C97">
      <w:pPr>
        <w:jc w:val="both"/>
        <w:rPr>
          <w:rFonts w:ascii="Calibri" w:hAnsi="Calibri" w:cs="Calibri"/>
          <w:sz w:val="22"/>
          <w:szCs w:val="22"/>
        </w:rPr>
      </w:pPr>
      <w:r w:rsidRPr="00417C97">
        <w:rPr>
          <w:rFonts w:ascii="Calibri" w:hAnsi="Calibri" w:cs="Calibri"/>
          <w:sz w:val="22"/>
          <w:szCs w:val="22"/>
        </w:rPr>
        <w:t>The primary objective of the Taskforce is to develop clear, actionable guidance on how sustainability-labelled finance can be effectively applied to SMEs.</w:t>
      </w:r>
    </w:p>
    <w:p w14:paraId="1DD95D30" w14:textId="77777777" w:rsidR="00417C97" w:rsidRPr="00417C97" w:rsidRDefault="00417C97" w:rsidP="00417C97">
      <w:pPr>
        <w:jc w:val="both"/>
        <w:rPr>
          <w:rFonts w:ascii="Calibri" w:hAnsi="Calibri" w:cs="Calibri"/>
          <w:sz w:val="22"/>
          <w:szCs w:val="22"/>
        </w:rPr>
      </w:pPr>
      <w:r w:rsidRPr="00417C97">
        <w:rPr>
          <w:rFonts w:ascii="Calibri" w:hAnsi="Calibri" w:cs="Calibri"/>
          <w:sz w:val="22"/>
          <w:szCs w:val="22"/>
        </w:rPr>
        <w:t>In the initial phase, the Taskforce will focus on:</w:t>
      </w:r>
    </w:p>
    <w:p w14:paraId="36D8BD33" w14:textId="23EC88FA" w:rsidR="00417C97" w:rsidRPr="00417C97" w:rsidRDefault="00417C97" w:rsidP="00AE6005">
      <w:pPr>
        <w:numPr>
          <w:ilvl w:val="0"/>
          <w:numId w:val="6"/>
        </w:numPr>
        <w:jc w:val="both"/>
        <w:rPr>
          <w:rFonts w:ascii="Calibri" w:hAnsi="Calibri" w:cs="Calibri"/>
          <w:sz w:val="22"/>
          <w:szCs w:val="22"/>
        </w:rPr>
      </w:pPr>
      <w:r w:rsidRPr="00417C97">
        <w:rPr>
          <w:rFonts w:ascii="Calibri" w:hAnsi="Calibri" w:cs="Calibri"/>
          <w:b/>
          <w:bCs/>
          <w:sz w:val="22"/>
          <w:szCs w:val="22"/>
        </w:rPr>
        <w:t>Scope of the Guidance</w:t>
      </w:r>
      <w:r w:rsidRPr="00417C97">
        <w:rPr>
          <w:rFonts w:ascii="Calibri" w:hAnsi="Calibri" w:cs="Calibri"/>
          <w:sz w:val="22"/>
          <w:szCs w:val="22"/>
        </w:rPr>
        <w:t xml:space="preserve"> – Determining which elements of the GSSL Principles should be prioriti</w:t>
      </w:r>
      <w:r w:rsidR="00B85C16">
        <w:rPr>
          <w:rFonts w:ascii="Calibri" w:hAnsi="Calibri" w:cs="Calibri"/>
          <w:sz w:val="22"/>
          <w:szCs w:val="22"/>
        </w:rPr>
        <w:t>s</w:t>
      </w:r>
      <w:r w:rsidRPr="00417C97">
        <w:rPr>
          <w:rFonts w:ascii="Calibri" w:hAnsi="Calibri" w:cs="Calibri"/>
          <w:sz w:val="22"/>
          <w:szCs w:val="22"/>
        </w:rPr>
        <w:t>ed for SMEs.</w:t>
      </w:r>
      <w:r w:rsidR="00B85C16">
        <w:rPr>
          <w:rFonts w:ascii="Calibri" w:hAnsi="Calibri" w:cs="Calibri"/>
          <w:sz w:val="22"/>
          <w:szCs w:val="22"/>
        </w:rPr>
        <w:t xml:space="preserve">  </w:t>
      </w:r>
      <w:r w:rsidR="00AE6005" w:rsidRPr="00AE6005">
        <w:rPr>
          <w:rFonts w:ascii="Calibri" w:hAnsi="Calibri" w:cs="Calibri"/>
          <w:sz w:val="22"/>
          <w:szCs w:val="22"/>
        </w:rPr>
        <w:t>This includes determining whether the guidance should initially maintain an EMEA focus</w:t>
      </w:r>
      <w:r w:rsidR="00AE6005">
        <w:rPr>
          <w:rFonts w:ascii="Calibri" w:hAnsi="Calibri" w:cs="Calibri"/>
          <w:sz w:val="22"/>
          <w:szCs w:val="22"/>
        </w:rPr>
        <w:t>/publication</w:t>
      </w:r>
      <w:r w:rsidR="00AE6005" w:rsidRPr="00AE6005">
        <w:rPr>
          <w:rFonts w:ascii="Calibri" w:hAnsi="Calibri" w:cs="Calibri"/>
          <w:sz w:val="22"/>
          <w:szCs w:val="22"/>
        </w:rPr>
        <w:t xml:space="preserve"> or be developed with a global perspective from the outset.</w:t>
      </w:r>
    </w:p>
    <w:p w14:paraId="33DF214C" w14:textId="4A8BAA08" w:rsidR="00417C97" w:rsidRPr="00417C97" w:rsidRDefault="00417C97" w:rsidP="00F47F51">
      <w:pPr>
        <w:numPr>
          <w:ilvl w:val="0"/>
          <w:numId w:val="6"/>
        </w:numPr>
        <w:jc w:val="both"/>
        <w:rPr>
          <w:rFonts w:ascii="Calibri" w:hAnsi="Calibri" w:cs="Calibri"/>
          <w:sz w:val="22"/>
          <w:szCs w:val="22"/>
        </w:rPr>
      </w:pPr>
      <w:r w:rsidRPr="00417C97">
        <w:rPr>
          <w:rFonts w:ascii="Calibri" w:hAnsi="Calibri" w:cs="Calibri"/>
          <w:b/>
          <w:bCs/>
          <w:sz w:val="22"/>
          <w:szCs w:val="22"/>
        </w:rPr>
        <w:t>Alignment with Existing Projects</w:t>
      </w:r>
      <w:r w:rsidRPr="00417C97">
        <w:rPr>
          <w:rFonts w:ascii="Calibri" w:hAnsi="Calibri" w:cs="Calibri"/>
          <w:sz w:val="22"/>
          <w:szCs w:val="22"/>
        </w:rPr>
        <w:t xml:space="preserve"> – </w:t>
      </w:r>
      <w:r w:rsidR="00DF2A74">
        <w:rPr>
          <w:rFonts w:ascii="Calibri" w:hAnsi="Calibri" w:cs="Calibri"/>
          <w:sz w:val="22"/>
          <w:szCs w:val="22"/>
        </w:rPr>
        <w:t xml:space="preserve">consider </w:t>
      </w:r>
      <w:r w:rsidRPr="00417C97">
        <w:rPr>
          <w:rFonts w:ascii="Calibri" w:hAnsi="Calibri" w:cs="Calibri"/>
          <w:sz w:val="22"/>
          <w:szCs w:val="22"/>
        </w:rPr>
        <w:t xml:space="preserve">ongoing regulatory and market-driven initiatives (e.g., </w:t>
      </w:r>
      <w:hyperlink r:id="rId8" w:history="1">
        <w:r w:rsidRPr="00417C97">
          <w:rPr>
            <w:rStyle w:val="Hyperlink"/>
            <w:rFonts w:ascii="Calibri" w:hAnsi="Calibri" w:cs="Calibri"/>
            <w:sz w:val="22"/>
            <w:szCs w:val="22"/>
          </w:rPr>
          <w:t>EU</w:t>
        </w:r>
        <w:r w:rsidR="000A52D2" w:rsidRPr="00333DBA">
          <w:rPr>
            <w:rStyle w:val="Hyperlink"/>
            <w:rFonts w:ascii="Calibri" w:hAnsi="Calibri" w:cs="Calibri"/>
            <w:sz w:val="22"/>
            <w:szCs w:val="22"/>
          </w:rPr>
          <w:t>’s Streamlining sustainable finance for SMEs</w:t>
        </w:r>
      </w:hyperlink>
      <w:r w:rsidRPr="00417C97">
        <w:rPr>
          <w:rFonts w:ascii="Calibri" w:hAnsi="Calibri" w:cs="Calibri"/>
          <w:sz w:val="22"/>
          <w:szCs w:val="22"/>
        </w:rPr>
        <w:t xml:space="preserve">, </w:t>
      </w:r>
      <w:hyperlink r:id="rId9" w:history="1">
        <w:r w:rsidR="007726C7" w:rsidRPr="00397D84">
          <w:rPr>
            <w:rStyle w:val="Hyperlink"/>
            <w:rFonts w:ascii="Calibri" w:hAnsi="Calibri" w:cs="Calibri"/>
            <w:sz w:val="22"/>
            <w:szCs w:val="22"/>
          </w:rPr>
          <w:t xml:space="preserve">ICC </w:t>
        </w:r>
        <w:r w:rsidR="009F3DC7" w:rsidRPr="00397D84">
          <w:rPr>
            <w:rStyle w:val="Hyperlink"/>
            <w:rFonts w:ascii="Calibri" w:hAnsi="Calibri" w:cs="Calibri"/>
            <w:sz w:val="22"/>
            <w:szCs w:val="22"/>
          </w:rPr>
          <w:t>2024 Unlocking sustainable finance for SMEs</w:t>
        </w:r>
      </w:hyperlink>
      <w:r w:rsidR="00397D84">
        <w:rPr>
          <w:rFonts w:ascii="Calibri" w:hAnsi="Calibri" w:cs="Calibri"/>
          <w:sz w:val="22"/>
          <w:szCs w:val="22"/>
        </w:rPr>
        <w:t xml:space="preserve"> and current </w:t>
      </w:r>
      <w:r w:rsidR="00397D84" w:rsidRPr="00397D84">
        <w:rPr>
          <w:rFonts w:ascii="Calibri" w:hAnsi="Calibri" w:cs="Calibri"/>
          <w:sz w:val="22"/>
          <w:szCs w:val="22"/>
        </w:rPr>
        <w:t>global stocktake on SME sustainable finance</w:t>
      </w:r>
      <w:r w:rsidR="00092A6E">
        <w:rPr>
          <w:rFonts w:ascii="Calibri" w:hAnsi="Calibri" w:cs="Calibri"/>
          <w:sz w:val="22"/>
          <w:szCs w:val="22"/>
        </w:rPr>
        <w:t xml:space="preserve">, </w:t>
      </w:r>
      <w:hyperlink r:id="rId10" w:history="1">
        <w:r w:rsidR="00092A6E" w:rsidRPr="00F47F51">
          <w:rPr>
            <w:rStyle w:val="Hyperlink"/>
            <w:rFonts w:ascii="Calibri" w:hAnsi="Calibri" w:cs="Calibri"/>
            <w:sz w:val="22"/>
            <w:szCs w:val="22"/>
          </w:rPr>
          <w:t>U</w:t>
        </w:r>
        <w:r w:rsidR="00F47F51" w:rsidRPr="00F47F51">
          <w:rPr>
            <w:rStyle w:val="Hyperlink"/>
            <w:rFonts w:ascii="Calibri" w:hAnsi="Calibri" w:cs="Calibri"/>
            <w:sz w:val="22"/>
            <w:szCs w:val="22"/>
          </w:rPr>
          <w:t>K’s Small business to access finance</w:t>
        </w:r>
      </w:hyperlink>
      <w:r w:rsidR="00850B67">
        <w:rPr>
          <w:rFonts w:ascii="Calibri" w:hAnsi="Calibri" w:cs="Calibri"/>
          <w:sz w:val="22"/>
          <w:szCs w:val="22"/>
        </w:rPr>
        <w:t xml:space="preserve">, </w:t>
      </w:r>
      <w:hyperlink r:id="rId11" w:history="1">
        <w:r w:rsidR="001B37F6" w:rsidRPr="003D1DFD">
          <w:rPr>
            <w:rStyle w:val="Hyperlink"/>
            <w:rFonts w:ascii="Calibri" w:hAnsi="Calibri" w:cs="Calibri"/>
            <w:sz w:val="22"/>
            <w:szCs w:val="22"/>
          </w:rPr>
          <w:t>UK Finance Unlocking the SME Net Zero Transition</w:t>
        </w:r>
      </w:hyperlink>
      <w:r w:rsidR="001B37F6">
        <w:rPr>
          <w:rFonts w:ascii="Calibri" w:hAnsi="Calibri" w:cs="Calibri"/>
          <w:sz w:val="22"/>
          <w:szCs w:val="22"/>
        </w:rPr>
        <w:t xml:space="preserve">, </w:t>
      </w:r>
      <w:r w:rsidR="00850B67">
        <w:rPr>
          <w:rFonts w:ascii="Calibri" w:hAnsi="Calibri" w:cs="Calibri"/>
          <w:sz w:val="22"/>
          <w:szCs w:val="22"/>
        </w:rPr>
        <w:t>etc.</w:t>
      </w:r>
      <w:r w:rsidRPr="00417C97">
        <w:rPr>
          <w:rFonts w:ascii="Calibri" w:hAnsi="Calibri" w:cs="Calibri"/>
          <w:sz w:val="22"/>
          <w:szCs w:val="22"/>
        </w:rPr>
        <w:t>) to identify opportunities for collaboration, avoid duplication, and ensure consistency.</w:t>
      </w:r>
    </w:p>
    <w:p w14:paraId="120D3D4C" w14:textId="325C9280" w:rsidR="00417C97" w:rsidRPr="00417C97" w:rsidRDefault="00417C97" w:rsidP="00417C97">
      <w:pPr>
        <w:numPr>
          <w:ilvl w:val="0"/>
          <w:numId w:val="6"/>
        </w:numPr>
        <w:jc w:val="both"/>
        <w:rPr>
          <w:rFonts w:ascii="Calibri" w:hAnsi="Calibri" w:cs="Calibri"/>
          <w:sz w:val="22"/>
          <w:szCs w:val="22"/>
        </w:rPr>
      </w:pPr>
      <w:r w:rsidRPr="00417C97">
        <w:rPr>
          <w:rFonts w:ascii="Calibri" w:hAnsi="Calibri" w:cs="Calibri"/>
          <w:b/>
          <w:bCs/>
          <w:sz w:val="22"/>
          <w:szCs w:val="22"/>
        </w:rPr>
        <w:t>Emerging Markets and Developing Economies (</w:t>
      </w:r>
      <w:r w:rsidRPr="00417C97">
        <w:rPr>
          <w:rFonts w:ascii="Calibri" w:hAnsi="Calibri" w:cs="Calibri"/>
          <w:b/>
          <w:bCs/>
          <w:i/>
          <w:iCs/>
          <w:sz w:val="22"/>
          <w:szCs w:val="22"/>
        </w:rPr>
        <w:t>EMDEs</w:t>
      </w:r>
      <w:r w:rsidRPr="00417C97">
        <w:rPr>
          <w:rFonts w:ascii="Calibri" w:hAnsi="Calibri" w:cs="Calibri"/>
          <w:b/>
          <w:bCs/>
          <w:sz w:val="22"/>
          <w:szCs w:val="22"/>
        </w:rPr>
        <w:t>)</w:t>
      </w:r>
      <w:r w:rsidRPr="00417C97">
        <w:rPr>
          <w:rFonts w:ascii="Calibri" w:hAnsi="Calibri" w:cs="Calibri"/>
          <w:sz w:val="22"/>
          <w:szCs w:val="22"/>
        </w:rPr>
        <w:t xml:space="preserve"> – Considering </w:t>
      </w:r>
      <w:r w:rsidR="00CB2C56">
        <w:rPr>
          <w:rFonts w:ascii="Calibri" w:hAnsi="Calibri" w:cs="Calibri"/>
          <w:sz w:val="22"/>
          <w:szCs w:val="22"/>
        </w:rPr>
        <w:t xml:space="preserve">potential synergies </w:t>
      </w:r>
      <w:r w:rsidR="00BC37F1">
        <w:rPr>
          <w:rFonts w:ascii="Calibri" w:hAnsi="Calibri" w:cs="Calibri"/>
          <w:sz w:val="22"/>
          <w:szCs w:val="22"/>
        </w:rPr>
        <w:t xml:space="preserve">with </w:t>
      </w:r>
      <w:r w:rsidRPr="00417C97">
        <w:rPr>
          <w:rFonts w:ascii="Calibri" w:hAnsi="Calibri" w:cs="Calibri"/>
          <w:sz w:val="22"/>
          <w:szCs w:val="22"/>
        </w:rPr>
        <w:t xml:space="preserve">potential challenges </w:t>
      </w:r>
      <w:r w:rsidR="00BC37F1">
        <w:rPr>
          <w:rFonts w:ascii="Calibri" w:hAnsi="Calibri" w:cs="Calibri"/>
          <w:sz w:val="22"/>
          <w:szCs w:val="22"/>
        </w:rPr>
        <w:t xml:space="preserve">faced in </w:t>
      </w:r>
      <w:r w:rsidRPr="00417C97">
        <w:rPr>
          <w:rFonts w:ascii="Calibri" w:hAnsi="Calibri" w:cs="Calibri"/>
          <w:sz w:val="22"/>
          <w:szCs w:val="22"/>
        </w:rPr>
        <w:t>EMDE contexts</w:t>
      </w:r>
      <w:r w:rsidR="00850B67">
        <w:rPr>
          <w:rFonts w:ascii="Calibri" w:hAnsi="Calibri" w:cs="Calibri"/>
          <w:sz w:val="22"/>
          <w:szCs w:val="22"/>
        </w:rPr>
        <w:t>.</w:t>
      </w:r>
    </w:p>
    <w:p w14:paraId="22F2AB55" w14:textId="544A187D" w:rsidR="00665486" w:rsidRDefault="00665486" w:rsidP="00665486">
      <w:pPr>
        <w:jc w:val="both"/>
        <w:rPr>
          <w:rFonts w:ascii="Calibri" w:hAnsi="Calibri" w:cs="Calibri"/>
          <w:b/>
          <w:bCs/>
          <w:sz w:val="22"/>
          <w:szCs w:val="22"/>
        </w:rPr>
      </w:pPr>
      <w:r>
        <w:rPr>
          <w:rFonts w:ascii="Calibri" w:hAnsi="Calibri" w:cs="Calibri"/>
          <w:b/>
          <w:bCs/>
          <w:sz w:val="22"/>
          <w:szCs w:val="22"/>
        </w:rPr>
        <w:t>Membership</w:t>
      </w:r>
    </w:p>
    <w:p w14:paraId="03F4EBE4" w14:textId="77777777" w:rsidR="0070534C" w:rsidRDefault="00DD1513" w:rsidP="00DD1513">
      <w:pPr>
        <w:jc w:val="both"/>
        <w:rPr>
          <w:rFonts w:ascii="Calibri" w:hAnsi="Calibri" w:cs="Calibri"/>
          <w:sz w:val="22"/>
          <w:szCs w:val="22"/>
        </w:rPr>
      </w:pPr>
      <w:r>
        <w:rPr>
          <w:rFonts w:ascii="Calibri" w:hAnsi="Calibri" w:cs="Calibri"/>
          <w:sz w:val="22"/>
          <w:szCs w:val="22"/>
        </w:rPr>
        <w:t xml:space="preserve">Upon agreement of the </w:t>
      </w:r>
      <w:r w:rsidR="00BC37F1">
        <w:rPr>
          <w:rFonts w:ascii="Calibri" w:hAnsi="Calibri" w:cs="Calibri"/>
          <w:sz w:val="22"/>
          <w:szCs w:val="22"/>
        </w:rPr>
        <w:t>scope of the Guidance</w:t>
      </w:r>
      <w:r>
        <w:rPr>
          <w:rFonts w:ascii="Calibri" w:hAnsi="Calibri" w:cs="Calibri"/>
          <w:sz w:val="22"/>
          <w:szCs w:val="22"/>
        </w:rPr>
        <w:t xml:space="preserve">, </w:t>
      </w:r>
      <w:r w:rsidR="00665486">
        <w:rPr>
          <w:rFonts w:ascii="Calibri" w:hAnsi="Calibri" w:cs="Calibri"/>
          <w:sz w:val="22"/>
          <w:szCs w:val="22"/>
        </w:rPr>
        <w:t xml:space="preserve">Taskforce </w:t>
      </w:r>
      <w:r>
        <w:rPr>
          <w:rFonts w:ascii="Calibri" w:hAnsi="Calibri" w:cs="Calibri"/>
          <w:sz w:val="22"/>
          <w:szCs w:val="22"/>
        </w:rPr>
        <w:t xml:space="preserve">members will be </w:t>
      </w:r>
      <w:r w:rsidR="00665486">
        <w:rPr>
          <w:rFonts w:ascii="Calibri" w:hAnsi="Calibri" w:cs="Calibri"/>
          <w:sz w:val="22"/>
          <w:szCs w:val="22"/>
        </w:rPr>
        <w:t>divided into Active Participants (</w:t>
      </w:r>
      <w:r w:rsidR="00665486" w:rsidRPr="00520B02">
        <w:rPr>
          <w:rFonts w:ascii="Calibri" w:hAnsi="Calibri" w:cs="Calibri"/>
          <w:i/>
          <w:iCs/>
          <w:sz w:val="22"/>
          <w:szCs w:val="22"/>
        </w:rPr>
        <w:t>A</w:t>
      </w:r>
      <w:r w:rsidR="00142876" w:rsidRPr="00520B02">
        <w:rPr>
          <w:rFonts w:ascii="Calibri" w:hAnsi="Calibri" w:cs="Calibri"/>
          <w:i/>
          <w:iCs/>
          <w:sz w:val="22"/>
          <w:szCs w:val="22"/>
        </w:rPr>
        <w:t>P</w:t>
      </w:r>
      <w:r w:rsidR="00665486" w:rsidRPr="00520B02">
        <w:rPr>
          <w:rFonts w:ascii="Calibri" w:hAnsi="Calibri" w:cs="Calibri"/>
          <w:i/>
          <w:iCs/>
          <w:sz w:val="22"/>
          <w:szCs w:val="22"/>
        </w:rPr>
        <w:t>s</w:t>
      </w:r>
      <w:r w:rsidR="00665486">
        <w:rPr>
          <w:rFonts w:ascii="Calibri" w:hAnsi="Calibri" w:cs="Calibri"/>
          <w:sz w:val="22"/>
          <w:szCs w:val="22"/>
        </w:rPr>
        <w:t xml:space="preserve">) and Reviewers. </w:t>
      </w:r>
    </w:p>
    <w:p w14:paraId="736F356E" w14:textId="552EEADC" w:rsidR="00665486" w:rsidRDefault="00665486" w:rsidP="00DD1513">
      <w:pPr>
        <w:jc w:val="both"/>
        <w:rPr>
          <w:rFonts w:ascii="Calibri" w:hAnsi="Calibri" w:cs="Calibri"/>
          <w:sz w:val="22"/>
          <w:szCs w:val="22"/>
        </w:rPr>
      </w:pPr>
      <w:r>
        <w:rPr>
          <w:rFonts w:ascii="Calibri" w:hAnsi="Calibri" w:cs="Calibri"/>
          <w:sz w:val="22"/>
          <w:szCs w:val="22"/>
        </w:rPr>
        <w:t>The APs will be the driving force behind the project, holding the pen on the drafting of the guidelines, whilst the Reviewers will periodically be called upon to provide comments on circulated drafts.</w:t>
      </w:r>
    </w:p>
    <w:p w14:paraId="76ADB063" w14:textId="57A06F2B" w:rsidR="00665486" w:rsidRDefault="00665486" w:rsidP="00665486">
      <w:pPr>
        <w:jc w:val="both"/>
        <w:rPr>
          <w:rFonts w:ascii="Calibri" w:hAnsi="Calibri" w:cs="Calibri"/>
          <w:b/>
          <w:bCs/>
          <w:sz w:val="22"/>
          <w:szCs w:val="22"/>
        </w:rPr>
      </w:pPr>
      <w:r>
        <w:rPr>
          <w:rFonts w:ascii="Calibri" w:hAnsi="Calibri" w:cs="Calibri"/>
          <w:b/>
          <w:bCs/>
          <w:sz w:val="22"/>
          <w:szCs w:val="22"/>
        </w:rPr>
        <w:t>Task</w:t>
      </w:r>
      <w:r w:rsidR="00520B02">
        <w:rPr>
          <w:rFonts w:ascii="Calibri" w:hAnsi="Calibri" w:cs="Calibri"/>
          <w:b/>
          <w:bCs/>
          <w:sz w:val="22"/>
          <w:szCs w:val="22"/>
        </w:rPr>
        <w:t>f</w:t>
      </w:r>
      <w:r>
        <w:rPr>
          <w:rFonts w:ascii="Calibri" w:hAnsi="Calibri" w:cs="Calibri"/>
          <w:b/>
          <w:bCs/>
          <w:sz w:val="22"/>
          <w:szCs w:val="22"/>
        </w:rPr>
        <w:t>orce Members</w:t>
      </w:r>
    </w:p>
    <w:tbl>
      <w:tblPr>
        <w:tblStyle w:val="TableGrid"/>
        <w:tblW w:w="0" w:type="auto"/>
        <w:tblLook w:val="04A0" w:firstRow="1" w:lastRow="0" w:firstColumn="1" w:lastColumn="0" w:noHBand="0" w:noVBand="1"/>
      </w:tblPr>
      <w:tblGrid>
        <w:gridCol w:w="4508"/>
        <w:gridCol w:w="4508"/>
      </w:tblGrid>
      <w:tr w:rsidR="0011102C" w14:paraId="3871F4C5" w14:textId="77777777" w:rsidTr="0011102C">
        <w:tc>
          <w:tcPr>
            <w:tcW w:w="4508" w:type="dxa"/>
            <w:tcBorders>
              <w:top w:val="nil"/>
              <w:left w:val="nil"/>
              <w:bottom w:val="nil"/>
              <w:right w:val="nil"/>
            </w:tcBorders>
          </w:tcPr>
          <w:p w14:paraId="1016CE00" w14:textId="77777777" w:rsidR="0011102C" w:rsidRDefault="0011102C" w:rsidP="0011102C">
            <w:pPr>
              <w:pStyle w:val="ListParagraph"/>
              <w:numPr>
                <w:ilvl w:val="0"/>
                <w:numId w:val="7"/>
              </w:numPr>
              <w:jc w:val="both"/>
              <w:rPr>
                <w:rFonts w:ascii="Calibri" w:hAnsi="Calibri" w:cs="Calibri"/>
                <w:sz w:val="22"/>
                <w:szCs w:val="22"/>
              </w:rPr>
            </w:pPr>
            <w:r>
              <w:rPr>
                <w:rFonts w:ascii="Calibri" w:hAnsi="Calibri" w:cs="Calibri"/>
                <w:sz w:val="22"/>
                <w:szCs w:val="22"/>
              </w:rPr>
              <w:t>ABN AMRO</w:t>
            </w:r>
          </w:p>
          <w:p w14:paraId="19F40B83" w14:textId="77777777" w:rsidR="0011102C" w:rsidRDefault="0011102C" w:rsidP="0011102C">
            <w:pPr>
              <w:pStyle w:val="ListParagraph"/>
              <w:numPr>
                <w:ilvl w:val="0"/>
                <w:numId w:val="7"/>
              </w:numPr>
              <w:jc w:val="both"/>
              <w:rPr>
                <w:rFonts w:ascii="Calibri" w:hAnsi="Calibri" w:cs="Calibri"/>
                <w:sz w:val="22"/>
                <w:szCs w:val="22"/>
              </w:rPr>
            </w:pPr>
            <w:r>
              <w:rPr>
                <w:rFonts w:ascii="Calibri" w:hAnsi="Calibri" w:cs="Calibri"/>
                <w:sz w:val="22"/>
                <w:szCs w:val="22"/>
              </w:rPr>
              <w:t>Allied Irish Bank</w:t>
            </w:r>
          </w:p>
          <w:p w14:paraId="702B5301" w14:textId="77777777" w:rsidR="0011102C" w:rsidRDefault="0011102C" w:rsidP="0011102C">
            <w:pPr>
              <w:pStyle w:val="ListParagraph"/>
              <w:numPr>
                <w:ilvl w:val="0"/>
                <w:numId w:val="7"/>
              </w:numPr>
              <w:jc w:val="both"/>
              <w:rPr>
                <w:rFonts w:ascii="Calibri" w:hAnsi="Calibri" w:cs="Calibri"/>
                <w:sz w:val="22"/>
                <w:szCs w:val="22"/>
              </w:rPr>
            </w:pPr>
            <w:r>
              <w:rPr>
                <w:rFonts w:ascii="Calibri" w:hAnsi="Calibri" w:cs="Calibri"/>
                <w:sz w:val="22"/>
                <w:szCs w:val="22"/>
              </w:rPr>
              <w:t>Barclays Bank</w:t>
            </w:r>
          </w:p>
          <w:p w14:paraId="140B66CA" w14:textId="77777777" w:rsidR="0011102C" w:rsidRDefault="0011102C" w:rsidP="0011102C">
            <w:pPr>
              <w:pStyle w:val="ListParagraph"/>
              <w:numPr>
                <w:ilvl w:val="0"/>
                <w:numId w:val="7"/>
              </w:numPr>
              <w:jc w:val="both"/>
              <w:rPr>
                <w:rFonts w:ascii="Calibri" w:hAnsi="Calibri" w:cs="Calibri"/>
                <w:sz w:val="22"/>
                <w:szCs w:val="22"/>
              </w:rPr>
            </w:pPr>
            <w:r>
              <w:rPr>
                <w:rFonts w:ascii="Calibri" w:hAnsi="Calibri" w:cs="Calibri"/>
                <w:sz w:val="22"/>
                <w:szCs w:val="22"/>
              </w:rPr>
              <w:lastRenderedPageBreak/>
              <w:t>BBVA</w:t>
            </w:r>
          </w:p>
          <w:p w14:paraId="54E3BF3D" w14:textId="77777777" w:rsidR="0011102C" w:rsidRDefault="0011102C" w:rsidP="0011102C">
            <w:pPr>
              <w:pStyle w:val="ListParagraph"/>
              <w:numPr>
                <w:ilvl w:val="0"/>
                <w:numId w:val="7"/>
              </w:numPr>
              <w:jc w:val="both"/>
              <w:rPr>
                <w:rFonts w:ascii="Calibri" w:hAnsi="Calibri" w:cs="Calibri"/>
                <w:sz w:val="22"/>
                <w:szCs w:val="22"/>
              </w:rPr>
            </w:pPr>
            <w:r>
              <w:rPr>
                <w:rFonts w:ascii="Calibri" w:hAnsi="Calibri" w:cs="Calibri"/>
                <w:sz w:val="22"/>
                <w:szCs w:val="22"/>
              </w:rPr>
              <w:t>BNP Paribas</w:t>
            </w:r>
          </w:p>
          <w:p w14:paraId="0CF2B723" w14:textId="77777777" w:rsidR="0011102C" w:rsidRDefault="0011102C" w:rsidP="0011102C">
            <w:pPr>
              <w:pStyle w:val="ListParagraph"/>
              <w:numPr>
                <w:ilvl w:val="0"/>
                <w:numId w:val="7"/>
              </w:numPr>
              <w:jc w:val="both"/>
              <w:rPr>
                <w:rFonts w:ascii="Calibri" w:hAnsi="Calibri" w:cs="Calibri"/>
                <w:sz w:val="22"/>
                <w:szCs w:val="22"/>
              </w:rPr>
            </w:pPr>
            <w:r>
              <w:rPr>
                <w:rFonts w:ascii="Calibri" w:hAnsi="Calibri" w:cs="Calibri"/>
                <w:sz w:val="22"/>
                <w:szCs w:val="22"/>
              </w:rPr>
              <w:t>CA-CIB</w:t>
            </w:r>
          </w:p>
          <w:p w14:paraId="5F061800" w14:textId="46F8978E" w:rsidR="0011102C" w:rsidRDefault="0011102C" w:rsidP="0011102C">
            <w:pPr>
              <w:pStyle w:val="ListParagraph"/>
              <w:numPr>
                <w:ilvl w:val="0"/>
                <w:numId w:val="7"/>
              </w:numPr>
              <w:jc w:val="both"/>
              <w:rPr>
                <w:rFonts w:ascii="Calibri" w:hAnsi="Calibri" w:cs="Calibri"/>
                <w:sz w:val="22"/>
                <w:szCs w:val="22"/>
              </w:rPr>
            </w:pPr>
            <w:r>
              <w:rPr>
                <w:rFonts w:ascii="Calibri" w:hAnsi="Calibri" w:cs="Calibri"/>
                <w:sz w:val="22"/>
                <w:szCs w:val="22"/>
              </w:rPr>
              <w:t>CommBank</w:t>
            </w:r>
          </w:p>
          <w:p w14:paraId="3E4843C4" w14:textId="77777777" w:rsidR="0011102C" w:rsidRDefault="0011102C" w:rsidP="0011102C">
            <w:pPr>
              <w:pStyle w:val="ListParagraph"/>
              <w:numPr>
                <w:ilvl w:val="0"/>
                <w:numId w:val="7"/>
              </w:numPr>
              <w:jc w:val="both"/>
              <w:rPr>
                <w:rFonts w:ascii="Calibri" w:hAnsi="Calibri" w:cs="Calibri"/>
                <w:sz w:val="22"/>
                <w:szCs w:val="22"/>
              </w:rPr>
            </w:pPr>
            <w:r>
              <w:rPr>
                <w:rFonts w:ascii="Calibri" w:hAnsi="Calibri" w:cs="Calibri"/>
                <w:sz w:val="22"/>
                <w:szCs w:val="22"/>
              </w:rPr>
              <w:t>DNB</w:t>
            </w:r>
          </w:p>
          <w:p w14:paraId="472277F9" w14:textId="77777777" w:rsidR="0011102C" w:rsidRDefault="0011102C" w:rsidP="0011102C">
            <w:pPr>
              <w:pStyle w:val="ListParagraph"/>
              <w:numPr>
                <w:ilvl w:val="0"/>
                <w:numId w:val="7"/>
              </w:numPr>
              <w:jc w:val="both"/>
              <w:rPr>
                <w:rFonts w:ascii="Calibri" w:hAnsi="Calibri" w:cs="Calibri"/>
                <w:sz w:val="22"/>
                <w:szCs w:val="22"/>
              </w:rPr>
            </w:pPr>
            <w:r>
              <w:rPr>
                <w:rFonts w:ascii="Calibri" w:hAnsi="Calibri" w:cs="Calibri"/>
                <w:sz w:val="22"/>
                <w:szCs w:val="22"/>
              </w:rPr>
              <w:t xml:space="preserve">HSBC </w:t>
            </w:r>
          </w:p>
          <w:p w14:paraId="3BF51812" w14:textId="002EB029" w:rsidR="005F6FFA" w:rsidRDefault="005F6FFA" w:rsidP="0011102C">
            <w:pPr>
              <w:pStyle w:val="ListParagraph"/>
              <w:numPr>
                <w:ilvl w:val="0"/>
                <w:numId w:val="7"/>
              </w:numPr>
              <w:jc w:val="both"/>
              <w:rPr>
                <w:rFonts w:ascii="Calibri" w:hAnsi="Calibri" w:cs="Calibri"/>
                <w:sz w:val="22"/>
                <w:szCs w:val="22"/>
              </w:rPr>
            </w:pPr>
            <w:r>
              <w:rPr>
                <w:rFonts w:ascii="Calibri" w:hAnsi="Calibri" w:cs="Calibri"/>
                <w:sz w:val="22"/>
                <w:szCs w:val="22"/>
              </w:rPr>
              <w:t>IFS</w:t>
            </w:r>
          </w:p>
          <w:p w14:paraId="2C0E6E1A" w14:textId="77777777" w:rsidR="0011102C" w:rsidRDefault="0011102C" w:rsidP="0011102C">
            <w:pPr>
              <w:pStyle w:val="ListParagraph"/>
              <w:numPr>
                <w:ilvl w:val="0"/>
                <w:numId w:val="7"/>
              </w:numPr>
              <w:jc w:val="both"/>
              <w:rPr>
                <w:rFonts w:ascii="Calibri" w:hAnsi="Calibri" w:cs="Calibri"/>
                <w:sz w:val="22"/>
                <w:szCs w:val="22"/>
              </w:rPr>
            </w:pPr>
            <w:r>
              <w:rPr>
                <w:rFonts w:ascii="Calibri" w:hAnsi="Calibri" w:cs="Calibri"/>
                <w:sz w:val="22"/>
                <w:szCs w:val="22"/>
              </w:rPr>
              <w:t>ING</w:t>
            </w:r>
          </w:p>
          <w:p w14:paraId="1952274F" w14:textId="4598317B" w:rsidR="0011102C" w:rsidRPr="0011102C" w:rsidRDefault="0011102C" w:rsidP="0011102C">
            <w:pPr>
              <w:pStyle w:val="ListParagraph"/>
              <w:numPr>
                <w:ilvl w:val="0"/>
                <w:numId w:val="7"/>
              </w:numPr>
              <w:jc w:val="both"/>
              <w:rPr>
                <w:rFonts w:ascii="Calibri" w:hAnsi="Calibri" w:cs="Calibri"/>
                <w:sz w:val="22"/>
                <w:szCs w:val="22"/>
              </w:rPr>
            </w:pPr>
            <w:r>
              <w:rPr>
                <w:rFonts w:ascii="Calibri" w:hAnsi="Calibri" w:cs="Calibri"/>
                <w:sz w:val="22"/>
                <w:szCs w:val="22"/>
              </w:rPr>
              <w:t>La Banque Postal</w:t>
            </w:r>
          </w:p>
        </w:tc>
        <w:tc>
          <w:tcPr>
            <w:tcW w:w="4508" w:type="dxa"/>
            <w:tcBorders>
              <w:top w:val="nil"/>
              <w:left w:val="nil"/>
              <w:bottom w:val="nil"/>
              <w:right w:val="nil"/>
            </w:tcBorders>
          </w:tcPr>
          <w:p w14:paraId="7AAF0E67" w14:textId="77777777" w:rsidR="0011102C" w:rsidRDefault="0011102C" w:rsidP="0011102C">
            <w:pPr>
              <w:pStyle w:val="ListParagraph"/>
              <w:numPr>
                <w:ilvl w:val="0"/>
                <w:numId w:val="7"/>
              </w:numPr>
              <w:jc w:val="both"/>
              <w:rPr>
                <w:rFonts w:ascii="Calibri" w:hAnsi="Calibri" w:cs="Calibri"/>
                <w:sz w:val="22"/>
                <w:szCs w:val="22"/>
              </w:rPr>
            </w:pPr>
            <w:r>
              <w:rPr>
                <w:rFonts w:ascii="Calibri" w:hAnsi="Calibri" w:cs="Calibri"/>
                <w:sz w:val="22"/>
                <w:szCs w:val="22"/>
              </w:rPr>
              <w:lastRenderedPageBreak/>
              <w:t>LLBBW</w:t>
            </w:r>
          </w:p>
          <w:p w14:paraId="28C873A4" w14:textId="77777777" w:rsidR="0011102C" w:rsidRDefault="0011102C" w:rsidP="0011102C">
            <w:pPr>
              <w:pStyle w:val="ListParagraph"/>
              <w:numPr>
                <w:ilvl w:val="0"/>
                <w:numId w:val="7"/>
              </w:numPr>
              <w:jc w:val="both"/>
              <w:rPr>
                <w:rFonts w:ascii="Calibri" w:hAnsi="Calibri" w:cs="Calibri"/>
                <w:sz w:val="22"/>
                <w:szCs w:val="22"/>
              </w:rPr>
            </w:pPr>
            <w:r>
              <w:rPr>
                <w:rFonts w:ascii="Calibri" w:hAnsi="Calibri" w:cs="Calibri"/>
                <w:sz w:val="22"/>
                <w:szCs w:val="22"/>
              </w:rPr>
              <w:t>Lloyds</w:t>
            </w:r>
          </w:p>
          <w:p w14:paraId="2D09158C" w14:textId="77777777" w:rsidR="0011102C" w:rsidRDefault="0011102C" w:rsidP="0011102C">
            <w:pPr>
              <w:pStyle w:val="ListParagraph"/>
              <w:numPr>
                <w:ilvl w:val="0"/>
                <w:numId w:val="7"/>
              </w:numPr>
              <w:jc w:val="both"/>
              <w:rPr>
                <w:rFonts w:ascii="Calibri" w:hAnsi="Calibri" w:cs="Calibri"/>
                <w:sz w:val="22"/>
                <w:szCs w:val="22"/>
              </w:rPr>
            </w:pPr>
            <w:r>
              <w:rPr>
                <w:rFonts w:ascii="Calibri" w:hAnsi="Calibri" w:cs="Calibri"/>
                <w:sz w:val="22"/>
                <w:szCs w:val="22"/>
              </w:rPr>
              <w:t>Loyens &amp; Loeff</w:t>
            </w:r>
          </w:p>
          <w:p w14:paraId="508C73D3" w14:textId="77777777" w:rsidR="0011102C" w:rsidRDefault="0011102C" w:rsidP="0011102C">
            <w:pPr>
              <w:pStyle w:val="ListParagraph"/>
              <w:numPr>
                <w:ilvl w:val="0"/>
                <w:numId w:val="7"/>
              </w:numPr>
              <w:jc w:val="both"/>
              <w:rPr>
                <w:rFonts w:ascii="Calibri" w:hAnsi="Calibri" w:cs="Calibri"/>
                <w:sz w:val="22"/>
                <w:szCs w:val="22"/>
              </w:rPr>
            </w:pPr>
            <w:r>
              <w:rPr>
                <w:rFonts w:ascii="Calibri" w:hAnsi="Calibri" w:cs="Calibri"/>
                <w:sz w:val="22"/>
                <w:szCs w:val="22"/>
              </w:rPr>
              <w:lastRenderedPageBreak/>
              <w:t>MUFG</w:t>
            </w:r>
          </w:p>
          <w:p w14:paraId="374448EF" w14:textId="77777777" w:rsidR="0011102C" w:rsidRDefault="0011102C" w:rsidP="0011102C">
            <w:pPr>
              <w:pStyle w:val="ListParagraph"/>
              <w:numPr>
                <w:ilvl w:val="0"/>
                <w:numId w:val="7"/>
              </w:numPr>
              <w:jc w:val="both"/>
              <w:rPr>
                <w:rFonts w:ascii="Calibri" w:hAnsi="Calibri" w:cs="Calibri"/>
                <w:sz w:val="22"/>
                <w:szCs w:val="22"/>
              </w:rPr>
            </w:pPr>
            <w:r>
              <w:rPr>
                <w:rFonts w:ascii="Calibri" w:hAnsi="Calibri" w:cs="Calibri"/>
                <w:sz w:val="22"/>
                <w:szCs w:val="22"/>
              </w:rPr>
              <w:t>Natixis</w:t>
            </w:r>
          </w:p>
          <w:p w14:paraId="51AEC626" w14:textId="77777777" w:rsidR="0011102C" w:rsidRDefault="0011102C" w:rsidP="0011102C">
            <w:pPr>
              <w:pStyle w:val="ListParagraph"/>
              <w:numPr>
                <w:ilvl w:val="0"/>
                <w:numId w:val="7"/>
              </w:numPr>
              <w:jc w:val="both"/>
              <w:rPr>
                <w:rFonts w:ascii="Calibri" w:hAnsi="Calibri" w:cs="Calibri"/>
                <w:sz w:val="22"/>
                <w:szCs w:val="22"/>
              </w:rPr>
            </w:pPr>
            <w:r>
              <w:rPr>
                <w:rFonts w:ascii="Calibri" w:hAnsi="Calibri" w:cs="Calibri"/>
                <w:sz w:val="22"/>
                <w:szCs w:val="22"/>
              </w:rPr>
              <w:t>NatWest Group</w:t>
            </w:r>
          </w:p>
          <w:p w14:paraId="38F48B07" w14:textId="77777777" w:rsidR="0011102C" w:rsidRDefault="0011102C" w:rsidP="0011102C">
            <w:pPr>
              <w:pStyle w:val="ListParagraph"/>
              <w:numPr>
                <w:ilvl w:val="0"/>
                <w:numId w:val="7"/>
              </w:numPr>
              <w:jc w:val="both"/>
              <w:rPr>
                <w:rFonts w:ascii="Calibri" w:hAnsi="Calibri" w:cs="Calibri"/>
                <w:sz w:val="22"/>
                <w:szCs w:val="22"/>
              </w:rPr>
            </w:pPr>
            <w:r>
              <w:rPr>
                <w:rFonts w:ascii="Calibri" w:hAnsi="Calibri" w:cs="Calibri"/>
                <w:sz w:val="22"/>
                <w:szCs w:val="22"/>
              </w:rPr>
              <w:t>Nordea Bank</w:t>
            </w:r>
          </w:p>
          <w:p w14:paraId="1886629D" w14:textId="77777777" w:rsidR="0011102C" w:rsidRDefault="0011102C" w:rsidP="0011102C">
            <w:pPr>
              <w:pStyle w:val="ListParagraph"/>
              <w:numPr>
                <w:ilvl w:val="0"/>
                <w:numId w:val="7"/>
              </w:numPr>
              <w:jc w:val="both"/>
              <w:rPr>
                <w:rFonts w:ascii="Calibri" w:hAnsi="Calibri" w:cs="Calibri"/>
                <w:sz w:val="22"/>
                <w:szCs w:val="22"/>
              </w:rPr>
            </w:pPr>
            <w:r>
              <w:rPr>
                <w:rFonts w:ascii="Calibri" w:hAnsi="Calibri" w:cs="Calibri"/>
                <w:sz w:val="22"/>
                <w:szCs w:val="22"/>
              </w:rPr>
              <w:t>Rabobank</w:t>
            </w:r>
          </w:p>
          <w:p w14:paraId="40ED0075" w14:textId="7361C7D2" w:rsidR="00C30E6C" w:rsidRDefault="00C30E6C" w:rsidP="0011102C">
            <w:pPr>
              <w:pStyle w:val="ListParagraph"/>
              <w:numPr>
                <w:ilvl w:val="0"/>
                <w:numId w:val="7"/>
              </w:numPr>
              <w:jc w:val="both"/>
              <w:rPr>
                <w:rFonts w:ascii="Calibri" w:hAnsi="Calibri" w:cs="Calibri"/>
                <w:sz w:val="22"/>
                <w:szCs w:val="22"/>
              </w:rPr>
            </w:pPr>
            <w:r>
              <w:rPr>
                <w:rFonts w:ascii="Calibri" w:hAnsi="Calibri" w:cs="Calibri"/>
                <w:sz w:val="22"/>
                <w:szCs w:val="22"/>
              </w:rPr>
              <w:t>Ratings &amp; Investment Inc.</w:t>
            </w:r>
          </w:p>
          <w:p w14:paraId="7681D70E" w14:textId="77777777" w:rsidR="0011102C" w:rsidRDefault="0011102C" w:rsidP="0011102C">
            <w:pPr>
              <w:pStyle w:val="ListParagraph"/>
              <w:numPr>
                <w:ilvl w:val="0"/>
                <w:numId w:val="7"/>
              </w:numPr>
              <w:jc w:val="both"/>
              <w:rPr>
                <w:rFonts w:ascii="Calibri" w:hAnsi="Calibri" w:cs="Calibri"/>
                <w:sz w:val="22"/>
                <w:szCs w:val="22"/>
              </w:rPr>
            </w:pPr>
            <w:r>
              <w:rPr>
                <w:rFonts w:ascii="Calibri" w:hAnsi="Calibri" w:cs="Calibri"/>
                <w:sz w:val="22"/>
                <w:szCs w:val="22"/>
              </w:rPr>
              <w:t>Santander</w:t>
            </w:r>
          </w:p>
          <w:p w14:paraId="6E2432DD" w14:textId="77777777" w:rsidR="0011102C" w:rsidRDefault="0011102C" w:rsidP="0011102C">
            <w:pPr>
              <w:pStyle w:val="ListParagraph"/>
              <w:numPr>
                <w:ilvl w:val="0"/>
                <w:numId w:val="7"/>
              </w:numPr>
              <w:jc w:val="both"/>
              <w:rPr>
                <w:rFonts w:ascii="Calibri" w:hAnsi="Calibri" w:cs="Calibri"/>
                <w:sz w:val="22"/>
                <w:szCs w:val="22"/>
              </w:rPr>
            </w:pPr>
            <w:r>
              <w:rPr>
                <w:rFonts w:ascii="Calibri" w:hAnsi="Calibri" w:cs="Calibri"/>
                <w:sz w:val="22"/>
                <w:szCs w:val="22"/>
              </w:rPr>
              <w:t>Siemens Bank</w:t>
            </w:r>
          </w:p>
          <w:p w14:paraId="7FBAB300" w14:textId="7DC02F02" w:rsidR="0011102C" w:rsidRPr="0011102C" w:rsidRDefault="0011102C" w:rsidP="0011102C">
            <w:pPr>
              <w:pStyle w:val="ListParagraph"/>
              <w:numPr>
                <w:ilvl w:val="0"/>
                <w:numId w:val="7"/>
              </w:numPr>
              <w:jc w:val="both"/>
              <w:rPr>
                <w:rFonts w:ascii="Calibri" w:hAnsi="Calibri" w:cs="Calibri"/>
                <w:sz w:val="22"/>
                <w:szCs w:val="22"/>
              </w:rPr>
            </w:pPr>
            <w:r w:rsidRPr="0011102C">
              <w:rPr>
                <w:rFonts w:ascii="Calibri" w:hAnsi="Calibri" w:cs="Calibri"/>
                <w:sz w:val="22"/>
                <w:szCs w:val="22"/>
              </w:rPr>
              <w:t>Virgin Money</w:t>
            </w:r>
          </w:p>
        </w:tc>
      </w:tr>
      <w:tr w:rsidR="0011102C" w14:paraId="28D557A1" w14:textId="77777777" w:rsidTr="0011102C">
        <w:tc>
          <w:tcPr>
            <w:tcW w:w="4508" w:type="dxa"/>
            <w:tcBorders>
              <w:top w:val="nil"/>
              <w:left w:val="nil"/>
              <w:bottom w:val="nil"/>
              <w:right w:val="nil"/>
            </w:tcBorders>
          </w:tcPr>
          <w:p w14:paraId="06C80775" w14:textId="77777777" w:rsidR="0011102C" w:rsidRDefault="0011102C" w:rsidP="00665486">
            <w:pPr>
              <w:jc w:val="both"/>
              <w:rPr>
                <w:rFonts w:ascii="Calibri" w:hAnsi="Calibri" w:cs="Calibri"/>
                <w:sz w:val="22"/>
                <w:szCs w:val="22"/>
              </w:rPr>
            </w:pPr>
          </w:p>
        </w:tc>
        <w:tc>
          <w:tcPr>
            <w:tcW w:w="4508" w:type="dxa"/>
            <w:tcBorders>
              <w:top w:val="nil"/>
              <w:left w:val="nil"/>
              <w:bottom w:val="nil"/>
              <w:right w:val="nil"/>
            </w:tcBorders>
          </w:tcPr>
          <w:p w14:paraId="42D2B778" w14:textId="77777777" w:rsidR="0011102C" w:rsidRDefault="0011102C" w:rsidP="00665486">
            <w:pPr>
              <w:jc w:val="both"/>
              <w:rPr>
                <w:rFonts w:ascii="Calibri" w:hAnsi="Calibri" w:cs="Calibri"/>
                <w:sz w:val="22"/>
                <w:szCs w:val="22"/>
              </w:rPr>
            </w:pPr>
          </w:p>
        </w:tc>
      </w:tr>
      <w:tr w:rsidR="0011102C" w14:paraId="0549993D" w14:textId="77777777" w:rsidTr="0011102C">
        <w:tc>
          <w:tcPr>
            <w:tcW w:w="4508" w:type="dxa"/>
            <w:tcBorders>
              <w:top w:val="nil"/>
              <w:left w:val="nil"/>
              <w:bottom w:val="nil"/>
              <w:right w:val="nil"/>
            </w:tcBorders>
          </w:tcPr>
          <w:p w14:paraId="1B8F7795" w14:textId="77777777" w:rsidR="0011102C" w:rsidRDefault="0011102C" w:rsidP="00665486">
            <w:pPr>
              <w:jc w:val="both"/>
              <w:rPr>
                <w:rFonts w:ascii="Calibri" w:hAnsi="Calibri" w:cs="Calibri"/>
                <w:sz w:val="22"/>
                <w:szCs w:val="22"/>
              </w:rPr>
            </w:pPr>
          </w:p>
        </w:tc>
        <w:tc>
          <w:tcPr>
            <w:tcW w:w="4508" w:type="dxa"/>
            <w:tcBorders>
              <w:top w:val="nil"/>
              <w:left w:val="nil"/>
              <w:bottom w:val="nil"/>
              <w:right w:val="nil"/>
            </w:tcBorders>
          </w:tcPr>
          <w:p w14:paraId="69EB5C87" w14:textId="77777777" w:rsidR="0011102C" w:rsidRDefault="0011102C" w:rsidP="00665486">
            <w:pPr>
              <w:jc w:val="both"/>
              <w:rPr>
                <w:rFonts w:ascii="Calibri" w:hAnsi="Calibri" w:cs="Calibri"/>
                <w:sz w:val="22"/>
                <w:szCs w:val="22"/>
              </w:rPr>
            </w:pPr>
          </w:p>
        </w:tc>
      </w:tr>
      <w:tr w:rsidR="0011102C" w14:paraId="5F752210" w14:textId="77777777" w:rsidTr="0011102C">
        <w:tc>
          <w:tcPr>
            <w:tcW w:w="4508" w:type="dxa"/>
            <w:tcBorders>
              <w:top w:val="nil"/>
              <w:left w:val="nil"/>
              <w:bottom w:val="nil"/>
              <w:right w:val="nil"/>
            </w:tcBorders>
          </w:tcPr>
          <w:p w14:paraId="738865BD" w14:textId="77777777" w:rsidR="0011102C" w:rsidRDefault="0011102C" w:rsidP="00665486">
            <w:pPr>
              <w:jc w:val="both"/>
              <w:rPr>
                <w:rFonts w:ascii="Calibri" w:hAnsi="Calibri" w:cs="Calibri"/>
                <w:sz w:val="22"/>
                <w:szCs w:val="22"/>
              </w:rPr>
            </w:pPr>
          </w:p>
        </w:tc>
        <w:tc>
          <w:tcPr>
            <w:tcW w:w="4508" w:type="dxa"/>
            <w:tcBorders>
              <w:top w:val="nil"/>
              <w:left w:val="nil"/>
              <w:bottom w:val="nil"/>
              <w:right w:val="nil"/>
            </w:tcBorders>
          </w:tcPr>
          <w:p w14:paraId="52B406C9" w14:textId="77777777" w:rsidR="0011102C" w:rsidRDefault="0011102C" w:rsidP="00665486">
            <w:pPr>
              <w:jc w:val="both"/>
              <w:rPr>
                <w:rFonts w:ascii="Calibri" w:hAnsi="Calibri" w:cs="Calibri"/>
                <w:sz w:val="22"/>
                <w:szCs w:val="22"/>
              </w:rPr>
            </w:pPr>
          </w:p>
        </w:tc>
      </w:tr>
      <w:tr w:rsidR="0011102C" w14:paraId="3E12D0EC" w14:textId="77777777" w:rsidTr="0011102C">
        <w:tc>
          <w:tcPr>
            <w:tcW w:w="4508" w:type="dxa"/>
            <w:tcBorders>
              <w:top w:val="nil"/>
              <w:left w:val="nil"/>
              <w:bottom w:val="nil"/>
              <w:right w:val="nil"/>
            </w:tcBorders>
          </w:tcPr>
          <w:p w14:paraId="2BA89FDF" w14:textId="77777777" w:rsidR="0011102C" w:rsidRDefault="0011102C" w:rsidP="00665486">
            <w:pPr>
              <w:jc w:val="both"/>
              <w:rPr>
                <w:rFonts w:ascii="Calibri" w:hAnsi="Calibri" w:cs="Calibri"/>
                <w:sz w:val="22"/>
                <w:szCs w:val="22"/>
              </w:rPr>
            </w:pPr>
          </w:p>
        </w:tc>
        <w:tc>
          <w:tcPr>
            <w:tcW w:w="4508" w:type="dxa"/>
            <w:tcBorders>
              <w:top w:val="nil"/>
              <w:left w:val="nil"/>
              <w:bottom w:val="nil"/>
              <w:right w:val="nil"/>
            </w:tcBorders>
          </w:tcPr>
          <w:p w14:paraId="7F0A029A" w14:textId="77777777" w:rsidR="0011102C" w:rsidRDefault="0011102C" w:rsidP="00665486">
            <w:pPr>
              <w:jc w:val="both"/>
              <w:rPr>
                <w:rFonts w:ascii="Calibri" w:hAnsi="Calibri" w:cs="Calibri"/>
                <w:sz w:val="22"/>
                <w:szCs w:val="22"/>
              </w:rPr>
            </w:pPr>
          </w:p>
        </w:tc>
      </w:tr>
      <w:tr w:rsidR="0011102C" w14:paraId="68F289FE" w14:textId="77777777" w:rsidTr="0011102C">
        <w:tc>
          <w:tcPr>
            <w:tcW w:w="4508" w:type="dxa"/>
            <w:tcBorders>
              <w:top w:val="nil"/>
              <w:left w:val="nil"/>
              <w:bottom w:val="nil"/>
              <w:right w:val="nil"/>
            </w:tcBorders>
          </w:tcPr>
          <w:p w14:paraId="72E5B4B0" w14:textId="77777777" w:rsidR="0011102C" w:rsidRDefault="0011102C" w:rsidP="00665486">
            <w:pPr>
              <w:jc w:val="both"/>
              <w:rPr>
                <w:rFonts w:ascii="Calibri" w:hAnsi="Calibri" w:cs="Calibri"/>
                <w:sz w:val="22"/>
                <w:szCs w:val="22"/>
              </w:rPr>
            </w:pPr>
          </w:p>
        </w:tc>
        <w:tc>
          <w:tcPr>
            <w:tcW w:w="4508" w:type="dxa"/>
            <w:tcBorders>
              <w:top w:val="nil"/>
              <w:left w:val="nil"/>
              <w:bottom w:val="nil"/>
              <w:right w:val="nil"/>
            </w:tcBorders>
          </w:tcPr>
          <w:p w14:paraId="7151C4A9" w14:textId="77777777" w:rsidR="0011102C" w:rsidRDefault="0011102C" w:rsidP="00665486">
            <w:pPr>
              <w:jc w:val="both"/>
              <w:rPr>
                <w:rFonts w:ascii="Calibri" w:hAnsi="Calibri" w:cs="Calibri"/>
                <w:sz w:val="22"/>
                <w:szCs w:val="22"/>
              </w:rPr>
            </w:pPr>
          </w:p>
        </w:tc>
      </w:tr>
    </w:tbl>
    <w:p w14:paraId="4FE92C5B" w14:textId="76688934" w:rsidR="00665486" w:rsidRPr="00665486" w:rsidRDefault="00665486" w:rsidP="00665486">
      <w:pPr>
        <w:jc w:val="both"/>
        <w:rPr>
          <w:rFonts w:ascii="Calibri" w:hAnsi="Calibri" w:cs="Calibri"/>
          <w:sz w:val="22"/>
          <w:szCs w:val="22"/>
        </w:rPr>
      </w:pPr>
    </w:p>
    <w:sectPr w:rsidR="00665486" w:rsidRPr="006654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04394"/>
    <w:multiLevelType w:val="hybridMultilevel"/>
    <w:tmpl w:val="7236E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3F2475"/>
    <w:multiLevelType w:val="hybridMultilevel"/>
    <w:tmpl w:val="C5780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274261"/>
    <w:multiLevelType w:val="hybridMultilevel"/>
    <w:tmpl w:val="A672D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6E26AC"/>
    <w:multiLevelType w:val="hybridMultilevel"/>
    <w:tmpl w:val="43627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460C67"/>
    <w:multiLevelType w:val="hybridMultilevel"/>
    <w:tmpl w:val="DC427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035D2F"/>
    <w:multiLevelType w:val="multilevel"/>
    <w:tmpl w:val="4CF0E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A71BE2"/>
    <w:multiLevelType w:val="hybridMultilevel"/>
    <w:tmpl w:val="BA8E6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6096389">
    <w:abstractNumId w:val="4"/>
  </w:num>
  <w:num w:numId="2" w16cid:durableId="1021859992">
    <w:abstractNumId w:val="0"/>
  </w:num>
  <w:num w:numId="3" w16cid:durableId="678316553">
    <w:abstractNumId w:val="6"/>
  </w:num>
  <w:num w:numId="4" w16cid:durableId="113788346">
    <w:abstractNumId w:val="2"/>
  </w:num>
  <w:num w:numId="5" w16cid:durableId="1416518051">
    <w:abstractNumId w:val="1"/>
  </w:num>
  <w:num w:numId="6" w16cid:durableId="252324369">
    <w:abstractNumId w:val="5"/>
  </w:num>
  <w:num w:numId="7" w16cid:durableId="3344620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1C7"/>
    <w:rsid w:val="00081CC5"/>
    <w:rsid w:val="00084F84"/>
    <w:rsid w:val="00092A6E"/>
    <w:rsid w:val="000A4F2B"/>
    <w:rsid w:val="000A52D2"/>
    <w:rsid w:val="0011102C"/>
    <w:rsid w:val="00142876"/>
    <w:rsid w:val="00150BB7"/>
    <w:rsid w:val="00154902"/>
    <w:rsid w:val="001A5F6A"/>
    <w:rsid w:val="001A683B"/>
    <w:rsid w:val="001B37F6"/>
    <w:rsid w:val="001F4F3F"/>
    <w:rsid w:val="002026AB"/>
    <w:rsid w:val="0020634D"/>
    <w:rsid w:val="002070B5"/>
    <w:rsid w:val="00270D44"/>
    <w:rsid w:val="002D56D4"/>
    <w:rsid w:val="002E1820"/>
    <w:rsid w:val="002F1686"/>
    <w:rsid w:val="00320417"/>
    <w:rsid w:val="00333DBA"/>
    <w:rsid w:val="003774DB"/>
    <w:rsid w:val="0038043E"/>
    <w:rsid w:val="00397D84"/>
    <w:rsid w:val="003C41C7"/>
    <w:rsid w:val="003C5DCE"/>
    <w:rsid w:val="003D1DFD"/>
    <w:rsid w:val="003D25E2"/>
    <w:rsid w:val="00417C97"/>
    <w:rsid w:val="004617F3"/>
    <w:rsid w:val="00464B18"/>
    <w:rsid w:val="004D3C6A"/>
    <w:rsid w:val="005076BF"/>
    <w:rsid w:val="00520B02"/>
    <w:rsid w:val="0053724E"/>
    <w:rsid w:val="005410EA"/>
    <w:rsid w:val="005F6FFA"/>
    <w:rsid w:val="00613542"/>
    <w:rsid w:val="00665486"/>
    <w:rsid w:val="00673312"/>
    <w:rsid w:val="006B4014"/>
    <w:rsid w:val="006E7723"/>
    <w:rsid w:val="0070534C"/>
    <w:rsid w:val="00721413"/>
    <w:rsid w:val="00734A3C"/>
    <w:rsid w:val="00760E1E"/>
    <w:rsid w:val="00772414"/>
    <w:rsid w:val="007726C7"/>
    <w:rsid w:val="007728E9"/>
    <w:rsid w:val="007E0D68"/>
    <w:rsid w:val="00801237"/>
    <w:rsid w:val="00835BD5"/>
    <w:rsid w:val="00850B67"/>
    <w:rsid w:val="00893449"/>
    <w:rsid w:val="009268B2"/>
    <w:rsid w:val="00953707"/>
    <w:rsid w:val="00993734"/>
    <w:rsid w:val="009E0CD8"/>
    <w:rsid w:val="009F3DC7"/>
    <w:rsid w:val="00A12E0F"/>
    <w:rsid w:val="00A13606"/>
    <w:rsid w:val="00A17509"/>
    <w:rsid w:val="00A86046"/>
    <w:rsid w:val="00AA2B1D"/>
    <w:rsid w:val="00AC63A7"/>
    <w:rsid w:val="00AE6005"/>
    <w:rsid w:val="00B01B92"/>
    <w:rsid w:val="00B149C6"/>
    <w:rsid w:val="00B35E2D"/>
    <w:rsid w:val="00B45D4A"/>
    <w:rsid w:val="00B5216D"/>
    <w:rsid w:val="00B52FA6"/>
    <w:rsid w:val="00B530D6"/>
    <w:rsid w:val="00B532F7"/>
    <w:rsid w:val="00B85C16"/>
    <w:rsid w:val="00BA24A5"/>
    <w:rsid w:val="00BC022B"/>
    <w:rsid w:val="00BC37F1"/>
    <w:rsid w:val="00C125EF"/>
    <w:rsid w:val="00C15411"/>
    <w:rsid w:val="00C30E6C"/>
    <w:rsid w:val="00C362E3"/>
    <w:rsid w:val="00C55D63"/>
    <w:rsid w:val="00CB2C56"/>
    <w:rsid w:val="00D06CBB"/>
    <w:rsid w:val="00D131A2"/>
    <w:rsid w:val="00D17338"/>
    <w:rsid w:val="00D42E07"/>
    <w:rsid w:val="00D5505D"/>
    <w:rsid w:val="00DA44AD"/>
    <w:rsid w:val="00DA5F23"/>
    <w:rsid w:val="00DD1513"/>
    <w:rsid w:val="00DF2A74"/>
    <w:rsid w:val="00E172AE"/>
    <w:rsid w:val="00E251F2"/>
    <w:rsid w:val="00E843EF"/>
    <w:rsid w:val="00EB05F5"/>
    <w:rsid w:val="00EB103D"/>
    <w:rsid w:val="00EC1626"/>
    <w:rsid w:val="00ED748A"/>
    <w:rsid w:val="00EF1DA6"/>
    <w:rsid w:val="00EF2F34"/>
    <w:rsid w:val="00F0658E"/>
    <w:rsid w:val="00F45A81"/>
    <w:rsid w:val="00F47F51"/>
    <w:rsid w:val="00F5270A"/>
    <w:rsid w:val="00FE678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FF498"/>
  <w15:chartTrackingRefBased/>
  <w15:docId w15:val="{A7151B1E-F7B1-44E9-9ACF-7F334D29B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41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41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41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41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41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41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41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41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41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41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41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41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41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41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41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41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41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41C7"/>
    <w:rPr>
      <w:rFonts w:eastAsiaTheme="majorEastAsia" w:cstheme="majorBidi"/>
      <w:color w:val="272727" w:themeColor="text1" w:themeTint="D8"/>
    </w:rPr>
  </w:style>
  <w:style w:type="paragraph" w:styleId="Title">
    <w:name w:val="Title"/>
    <w:basedOn w:val="Normal"/>
    <w:next w:val="Normal"/>
    <w:link w:val="TitleChar"/>
    <w:uiPriority w:val="10"/>
    <w:qFormat/>
    <w:rsid w:val="003C41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41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41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41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41C7"/>
    <w:pPr>
      <w:spacing w:before="160"/>
      <w:jc w:val="center"/>
    </w:pPr>
    <w:rPr>
      <w:i/>
      <w:iCs/>
      <w:color w:val="404040" w:themeColor="text1" w:themeTint="BF"/>
    </w:rPr>
  </w:style>
  <w:style w:type="character" w:customStyle="1" w:styleId="QuoteChar">
    <w:name w:val="Quote Char"/>
    <w:basedOn w:val="DefaultParagraphFont"/>
    <w:link w:val="Quote"/>
    <w:uiPriority w:val="29"/>
    <w:rsid w:val="003C41C7"/>
    <w:rPr>
      <w:i/>
      <w:iCs/>
      <w:color w:val="404040" w:themeColor="text1" w:themeTint="BF"/>
    </w:rPr>
  </w:style>
  <w:style w:type="paragraph" w:styleId="ListParagraph">
    <w:name w:val="List Paragraph"/>
    <w:basedOn w:val="Normal"/>
    <w:uiPriority w:val="34"/>
    <w:qFormat/>
    <w:rsid w:val="003C41C7"/>
    <w:pPr>
      <w:ind w:left="720"/>
      <w:contextualSpacing/>
    </w:pPr>
  </w:style>
  <w:style w:type="character" w:styleId="IntenseEmphasis">
    <w:name w:val="Intense Emphasis"/>
    <w:basedOn w:val="DefaultParagraphFont"/>
    <w:uiPriority w:val="21"/>
    <w:qFormat/>
    <w:rsid w:val="003C41C7"/>
    <w:rPr>
      <w:i/>
      <w:iCs/>
      <w:color w:val="0F4761" w:themeColor="accent1" w:themeShade="BF"/>
    </w:rPr>
  </w:style>
  <w:style w:type="paragraph" w:styleId="IntenseQuote">
    <w:name w:val="Intense Quote"/>
    <w:basedOn w:val="Normal"/>
    <w:next w:val="Normal"/>
    <w:link w:val="IntenseQuoteChar"/>
    <w:uiPriority w:val="30"/>
    <w:qFormat/>
    <w:rsid w:val="003C41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41C7"/>
    <w:rPr>
      <w:i/>
      <w:iCs/>
      <w:color w:val="0F4761" w:themeColor="accent1" w:themeShade="BF"/>
    </w:rPr>
  </w:style>
  <w:style w:type="character" w:styleId="IntenseReference">
    <w:name w:val="Intense Reference"/>
    <w:basedOn w:val="DefaultParagraphFont"/>
    <w:uiPriority w:val="32"/>
    <w:qFormat/>
    <w:rsid w:val="003C41C7"/>
    <w:rPr>
      <w:b/>
      <w:bCs/>
      <w:smallCaps/>
      <w:color w:val="0F4761" w:themeColor="accent1" w:themeShade="BF"/>
      <w:spacing w:val="5"/>
    </w:rPr>
  </w:style>
  <w:style w:type="character" w:styleId="CommentReference">
    <w:name w:val="annotation reference"/>
    <w:basedOn w:val="DefaultParagraphFont"/>
    <w:uiPriority w:val="99"/>
    <w:semiHidden/>
    <w:unhideWhenUsed/>
    <w:rsid w:val="00DA44AD"/>
    <w:rPr>
      <w:sz w:val="16"/>
      <w:szCs w:val="16"/>
    </w:rPr>
  </w:style>
  <w:style w:type="paragraph" w:styleId="CommentText">
    <w:name w:val="annotation text"/>
    <w:basedOn w:val="Normal"/>
    <w:link w:val="CommentTextChar"/>
    <w:uiPriority w:val="99"/>
    <w:unhideWhenUsed/>
    <w:rsid w:val="00DA44AD"/>
    <w:pPr>
      <w:spacing w:line="240" w:lineRule="auto"/>
    </w:pPr>
    <w:rPr>
      <w:sz w:val="20"/>
      <w:szCs w:val="20"/>
    </w:rPr>
  </w:style>
  <w:style w:type="character" w:customStyle="1" w:styleId="CommentTextChar">
    <w:name w:val="Comment Text Char"/>
    <w:basedOn w:val="DefaultParagraphFont"/>
    <w:link w:val="CommentText"/>
    <w:uiPriority w:val="99"/>
    <w:rsid w:val="00DA44AD"/>
    <w:rPr>
      <w:sz w:val="20"/>
      <w:szCs w:val="20"/>
    </w:rPr>
  </w:style>
  <w:style w:type="paragraph" w:styleId="CommentSubject">
    <w:name w:val="annotation subject"/>
    <w:basedOn w:val="CommentText"/>
    <w:next w:val="CommentText"/>
    <w:link w:val="CommentSubjectChar"/>
    <w:uiPriority w:val="99"/>
    <w:semiHidden/>
    <w:unhideWhenUsed/>
    <w:rsid w:val="00DA44AD"/>
    <w:rPr>
      <w:b/>
      <w:bCs/>
    </w:rPr>
  </w:style>
  <w:style w:type="character" w:customStyle="1" w:styleId="CommentSubjectChar">
    <w:name w:val="Comment Subject Char"/>
    <w:basedOn w:val="CommentTextChar"/>
    <w:link w:val="CommentSubject"/>
    <w:uiPriority w:val="99"/>
    <w:semiHidden/>
    <w:rsid w:val="00DA44AD"/>
    <w:rPr>
      <w:b/>
      <w:bCs/>
      <w:sz w:val="20"/>
      <w:szCs w:val="20"/>
    </w:rPr>
  </w:style>
  <w:style w:type="character" w:styleId="Hyperlink">
    <w:name w:val="Hyperlink"/>
    <w:basedOn w:val="DefaultParagraphFont"/>
    <w:uiPriority w:val="99"/>
    <w:unhideWhenUsed/>
    <w:rsid w:val="00397D84"/>
    <w:rPr>
      <w:color w:val="467886" w:themeColor="hyperlink"/>
      <w:u w:val="single"/>
    </w:rPr>
  </w:style>
  <w:style w:type="character" w:styleId="UnresolvedMention">
    <w:name w:val="Unresolved Mention"/>
    <w:basedOn w:val="DefaultParagraphFont"/>
    <w:uiPriority w:val="99"/>
    <w:semiHidden/>
    <w:unhideWhenUsed/>
    <w:rsid w:val="00397D84"/>
    <w:rPr>
      <w:color w:val="605E5C"/>
      <w:shd w:val="clear" w:color="auto" w:fill="E1DFDD"/>
    </w:rPr>
  </w:style>
  <w:style w:type="table" w:styleId="TableGrid">
    <w:name w:val="Table Grid"/>
    <w:basedOn w:val="TableNormal"/>
    <w:uiPriority w:val="39"/>
    <w:rsid w:val="001110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88098">
      <w:bodyDiv w:val="1"/>
      <w:marLeft w:val="0"/>
      <w:marRight w:val="0"/>
      <w:marTop w:val="0"/>
      <w:marBottom w:val="0"/>
      <w:divBdr>
        <w:top w:val="none" w:sz="0" w:space="0" w:color="auto"/>
        <w:left w:val="none" w:sz="0" w:space="0" w:color="auto"/>
        <w:bottom w:val="none" w:sz="0" w:space="0" w:color="auto"/>
        <w:right w:val="none" w:sz="0" w:space="0" w:color="auto"/>
      </w:divBdr>
    </w:div>
    <w:div w:id="226108963">
      <w:bodyDiv w:val="1"/>
      <w:marLeft w:val="0"/>
      <w:marRight w:val="0"/>
      <w:marTop w:val="0"/>
      <w:marBottom w:val="0"/>
      <w:divBdr>
        <w:top w:val="none" w:sz="0" w:space="0" w:color="auto"/>
        <w:left w:val="none" w:sz="0" w:space="0" w:color="auto"/>
        <w:bottom w:val="none" w:sz="0" w:space="0" w:color="auto"/>
        <w:right w:val="none" w:sz="0" w:space="0" w:color="auto"/>
      </w:divBdr>
    </w:div>
    <w:div w:id="318577227">
      <w:bodyDiv w:val="1"/>
      <w:marLeft w:val="0"/>
      <w:marRight w:val="0"/>
      <w:marTop w:val="0"/>
      <w:marBottom w:val="0"/>
      <w:divBdr>
        <w:top w:val="none" w:sz="0" w:space="0" w:color="auto"/>
        <w:left w:val="none" w:sz="0" w:space="0" w:color="auto"/>
        <w:bottom w:val="none" w:sz="0" w:space="0" w:color="auto"/>
        <w:right w:val="none" w:sz="0" w:space="0" w:color="auto"/>
      </w:divBdr>
    </w:div>
    <w:div w:id="359742678">
      <w:bodyDiv w:val="1"/>
      <w:marLeft w:val="0"/>
      <w:marRight w:val="0"/>
      <w:marTop w:val="0"/>
      <w:marBottom w:val="0"/>
      <w:divBdr>
        <w:top w:val="none" w:sz="0" w:space="0" w:color="auto"/>
        <w:left w:val="none" w:sz="0" w:space="0" w:color="auto"/>
        <w:bottom w:val="none" w:sz="0" w:space="0" w:color="auto"/>
        <w:right w:val="none" w:sz="0" w:space="0" w:color="auto"/>
      </w:divBdr>
    </w:div>
    <w:div w:id="899097320">
      <w:bodyDiv w:val="1"/>
      <w:marLeft w:val="0"/>
      <w:marRight w:val="0"/>
      <w:marTop w:val="0"/>
      <w:marBottom w:val="0"/>
      <w:divBdr>
        <w:top w:val="none" w:sz="0" w:space="0" w:color="auto"/>
        <w:left w:val="none" w:sz="0" w:space="0" w:color="auto"/>
        <w:bottom w:val="none" w:sz="0" w:space="0" w:color="auto"/>
        <w:right w:val="none" w:sz="0" w:space="0" w:color="auto"/>
      </w:divBdr>
    </w:div>
    <w:div w:id="1475218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e.ec.europa.eu/publications/platform-sustainable-finance-report-streamlining-sustainable-finance-smes_en"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kfinance.org.uk/system/files/2024-05/UK%20Finance%20SME%20sustainability%20report_0.pdf?utm_source=chatgpt.com" TargetMode="External"/><Relationship Id="rId5" Type="http://schemas.openxmlformats.org/officeDocument/2006/relationships/styles" Target="styles.xml"/><Relationship Id="rId10" Type="http://schemas.openxmlformats.org/officeDocument/2006/relationships/hyperlink" Target="https://www.gov.uk/government/calls-for-evidence/small-business-access-to-finance/small-business-access-to-finance" TargetMode="External"/><Relationship Id="rId4" Type="http://schemas.openxmlformats.org/officeDocument/2006/relationships/numbering" Target="numbering.xml"/><Relationship Id="rId9" Type="http://schemas.openxmlformats.org/officeDocument/2006/relationships/hyperlink" Target="https://iccwbo.org/news-publications/policies-reports/unlocking-sustainable-finance-for-sm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egacyDocumentID xmlns="c5328c40-880a-4585-bbf1-a57e1cb97092" xsi:nil="true"/>
    <WorkType xmlns="c5328c40-880a-4585-bbf1-a57e1cb97092" xsi:nil="true"/>
    <ClientNumber xmlns="c5328c40-880a-4585-bbf1-a57e1cb97092" xsi:nil="true"/>
    <DocumentOwner xmlns="c5328c40-880a-4585-bbf1-a57e1cb97092">
      <UserInfo>
        <DisplayName/>
        <AccountId xsi:nil="true"/>
        <AccountType/>
      </UserInfo>
    </DocumentOwner>
    <ClientName xmlns="c5328c40-880a-4585-bbf1-a57e1cb97092" xsi:nil="true"/>
    <ClientReference xmlns="c5328c40-880a-4585-bbf1-a57e1cb97092" xsi:nil="true"/>
    <CCOffice xmlns="c5328c40-880a-4585-bbf1-a57e1cb97092">UK</CCOffice>
    <LegacyInformation xmlns="c5328c40-880a-4585-bbf1-a57e1cb97092" xsi:nil="true"/>
    <MatterStatus xmlns="c5328c40-880a-4585-bbf1-a57e1cb97092">Current</MatterStatus>
    <LegalTopicTaxHTField0 xmlns="c5328c40-880a-4585-bbf1-a57e1cb97092" xsi:nil="true"/>
    <MatterNumber xmlns="c5328c40-880a-4585-bbf1-a57e1cb97092">UK-3999-LMA</MatterNumber>
    <PracticeGroup xmlns="c5328c40-880a-4585-bbf1-a57e1cb97092">B&amp;F Central Support</PracticeGroup>
    <LegalDocumentTypeTaxHTField0 xmlns="c5328c40-880a-4585-bbf1-a57e1cb97092" xsi:nil="true"/>
    <MatterName xmlns="c5328c40-880a-4585-bbf1-a57e1cb97092">UK-3999-LMA</MatterName>
    <TaxCatchAll xmlns="c5328c40-880a-4585-bbf1-a57e1cb97092" xsi:nil="true"/>
    <JurisdictionTaxHTField0 xmlns="c5328c40-880a-4585-bbf1-a57e1cb97092" xsi:nil="true"/>
    <KeyDocument xmlns="c5328c40-880a-4585-bbf1-a57e1cb97092">false</KeyDocument>
    <PracticeArea xmlns="c5328c40-880a-4585-bbf1-a57e1cb97092">Capital Markets</PracticeArea>
    <ConfigListSynch xmlns="c5328c40-880a-4585-bbf1-a57e1cb97092" xsi:nil="true"/>
    <SectorTaxHTField0 xmlns="c5328c40-880a-4585-bbf1-a57e1cb9709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Legal Document" ma:contentTypeID="0x01010082D0B51EEABE574695EDDA2BB52A09600100FC37C1A2FAEFC04E96274E12E86F3DC7" ma:contentTypeVersion="45" ma:contentTypeDescription="Stores client and matter information common to all Legal Documents" ma:contentTypeScope="" ma:versionID="fe77f3ae1e4c7f8a0619aebc89c9210f">
  <xsd:schema xmlns:xsd="http://www.w3.org/2001/XMLSchema" xmlns:xs="http://www.w3.org/2001/XMLSchema" xmlns:p="http://schemas.microsoft.com/office/2006/metadata/properties" xmlns:ns2="c5328c40-880a-4585-bbf1-a57e1cb97092" xmlns:ns3="b4cc91d8-8109-41b2-8baa-2405b18da33c" targetNamespace="http://schemas.microsoft.com/office/2006/metadata/properties" ma:root="true" ma:fieldsID="54b0b83a030512344a5a4b4725c69f90" ns2:_="" ns3:_="">
    <xsd:import namespace="c5328c40-880a-4585-bbf1-a57e1cb97092"/>
    <xsd:import namespace="b4cc91d8-8109-41b2-8baa-2405b18da33c"/>
    <xsd:element name="properties">
      <xsd:complexType>
        <xsd:sequence>
          <xsd:element name="documentManagement">
            <xsd:complexType>
              <xsd:all>
                <xsd:element ref="ns2:DocumentOwner" minOccurs="0"/>
                <xsd:element ref="ns2:LegacyDocumentID" minOccurs="0"/>
                <xsd:element ref="ns2:LegacyInformation" minOccurs="0"/>
                <xsd:element ref="ns2:KeyDocument" minOccurs="0"/>
                <xsd:element ref="ns2:MatterNumber" minOccurs="0"/>
                <xsd:element ref="ns2:MatterName" minOccurs="0"/>
                <xsd:element ref="ns2:MatterStatus" minOccurs="0"/>
                <xsd:element ref="ns2:ClientNumber" minOccurs="0"/>
                <xsd:element ref="ns2:ClientName" minOccurs="0"/>
                <xsd:element ref="ns2:ClientReference" minOccurs="0"/>
                <xsd:element ref="ns2:CCOffice" minOccurs="0"/>
                <xsd:element ref="ns2:PracticeArea" minOccurs="0"/>
                <xsd:element ref="ns2:PracticeGroup" minOccurs="0"/>
                <xsd:element ref="ns2:DocumentIcons" minOccurs="0"/>
                <xsd:element ref="ns2:WorkType" minOccurs="0"/>
                <xsd:element ref="ns2:ConfigListSynch" minOccurs="0"/>
                <xsd:element ref="ns2:TaxCatchAll"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OCR" minOccurs="0"/>
                <xsd:element ref="ns3:MediaServiceGenerationTime" minOccurs="0"/>
                <xsd:element ref="ns3:MediaServiceEventHashCode" minOccurs="0"/>
                <xsd:element ref="ns2:TaxCatchAllLabel" minOccurs="0"/>
                <xsd:element ref="ns2:SectorTaxHTField0" minOccurs="0"/>
                <xsd:element ref="ns2:LegalDocumentTypeTaxHTField0" minOccurs="0"/>
                <xsd:element ref="ns2:LegalTopicTaxHTField0" minOccurs="0"/>
                <xsd:element ref="ns2:JurisdictionTaxHTField0"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28c40-880a-4585-bbf1-a57e1cb97092" elementFormDefault="qualified">
    <xsd:import namespace="http://schemas.microsoft.com/office/2006/documentManagement/types"/>
    <xsd:import namespace="http://schemas.microsoft.com/office/infopath/2007/PartnerControls"/>
    <xsd:element name="DocumentOwner" ma:index="4" nillable="true" ma:displayName="Document Owner" ma:indexed="true" ma:list="UserInfo" ma:SearchPeopleOnly="false" ma:SharePointGroup="0" ma:internalName="Documen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DocumentID" ma:index="5" nillable="true" ma:displayName="Legacy Document ID" ma:internalName="LegacyDocumentID" ma:readOnly="false">
      <xsd:simpleType>
        <xsd:restriction base="dms:Text">
          <xsd:maxLength value="255"/>
        </xsd:restriction>
      </xsd:simpleType>
    </xsd:element>
    <xsd:element name="LegacyInformation" ma:index="6" nillable="true" ma:displayName="Legacy Information" ma:internalName="LegacyInformation" ma:readOnly="false">
      <xsd:simpleType>
        <xsd:restriction base="dms:Note"/>
      </xsd:simpleType>
    </xsd:element>
    <xsd:element name="KeyDocument" ma:index="7" nillable="true" ma:displayName="Key Document" ma:default="0" ma:indexed="true" ma:internalName="KeyDocument" ma:readOnly="false">
      <xsd:simpleType>
        <xsd:restriction base="dms:Boolean"/>
      </xsd:simpleType>
    </xsd:element>
    <xsd:element name="MatterNumber" ma:index="8" nillable="true" ma:displayName="Matter Number" ma:default="UK-3999-LMA" ma:internalName="MatterNumber" ma:readOnly="false">
      <xsd:simpleType>
        <xsd:restriction base="dms:Text">
          <xsd:maxLength value="15"/>
        </xsd:restriction>
      </xsd:simpleType>
    </xsd:element>
    <xsd:element name="MatterName" ma:index="9" nillable="true" ma:displayName="Matter Name" ma:default="UK-3999-LMA" ma:internalName="MatterName" ma:readOnly="false">
      <xsd:simpleType>
        <xsd:restriction base="dms:Text">
          <xsd:maxLength value="255"/>
        </xsd:restriction>
      </xsd:simpleType>
    </xsd:element>
    <xsd:element name="MatterStatus" ma:index="10" nillable="true" ma:displayName="Matter Status" ma:default="Current" ma:format="Dropdown" ma:internalName="MatterStatus" ma:readOnly="false">
      <xsd:simpleType>
        <xsd:restriction base="dms:Choice">
          <xsd:enumeration value="Current"/>
          <xsd:enumeration value="Dormant"/>
        </xsd:restriction>
      </xsd:simpleType>
    </xsd:element>
    <xsd:element name="ClientNumber" ma:index="11" nillable="true" ma:displayName="Client Number" ma:internalName="ClientNumber" ma:readOnly="false">
      <xsd:simpleType>
        <xsd:restriction base="dms:Text">
          <xsd:maxLength value="50"/>
        </xsd:restriction>
      </xsd:simpleType>
    </xsd:element>
    <xsd:element name="ClientName" ma:index="12" nillable="true" ma:displayName="Client Name" ma:internalName="ClientName" ma:readOnly="false">
      <xsd:simpleType>
        <xsd:restriction base="dms:Text">
          <xsd:maxLength value="255"/>
        </xsd:restriction>
      </xsd:simpleType>
    </xsd:element>
    <xsd:element name="ClientReference" ma:index="13" nillable="true" ma:displayName="Client Reference" ma:internalName="ClientReference" ma:readOnly="false">
      <xsd:simpleType>
        <xsd:restriction base="dms:Text">
          <xsd:maxLength value="255"/>
        </xsd:restriction>
      </xsd:simpleType>
    </xsd:element>
    <xsd:element name="CCOffice" ma:index="14" nillable="true" ma:displayName="CC Office" ma:default="UK" ma:internalName="CCOffice" ma:readOnly="false">
      <xsd:simpleType>
        <xsd:restriction base="dms:Text">
          <xsd:maxLength value="255"/>
        </xsd:restriction>
      </xsd:simpleType>
    </xsd:element>
    <xsd:element name="PracticeArea" ma:index="15" nillable="true" ma:displayName="Practice Area" ma:default="Capital Markets" ma:internalName="PracticeArea" ma:readOnly="false">
      <xsd:simpleType>
        <xsd:restriction base="dms:Text">
          <xsd:maxLength value="255"/>
        </xsd:restriction>
      </xsd:simpleType>
    </xsd:element>
    <xsd:element name="PracticeGroup" ma:index="16" nillable="true" ma:displayName="Practice Group" ma:default="B&amp;F Central Support" ma:internalName="PracticeGroup" ma:readOnly="false">
      <xsd:simpleType>
        <xsd:restriction base="dms:Text">
          <xsd:maxLength value="255"/>
        </xsd:restriction>
      </xsd:simpleType>
    </xsd:element>
    <xsd:element name="DocumentIcons" ma:index="17" nillable="true" ma:displayName="Relationship Icons" ma:internalName="DocumentIcons" ma:readOnly="true">
      <xsd:simpleType>
        <xsd:restriction base="dms:Note"/>
      </xsd:simpleType>
    </xsd:element>
    <xsd:element name="WorkType" ma:index="18" nillable="true" ma:displayName="Work Type" ma:internalName="WorkType" ma:readOnly="false">
      <xsd:simpleType>
        <xsd:restriction base="dms:Text">
          <xsd:maxLength value="255"/>
        </xsd:restriction>
      </xsd:simpleType>
    </xsd:element>
    <xsd:element name="ConfigListSynch" ma:index="21" nillable="true" ma:displayName="Config List Synch" ma:format="DateTime" ma:hidden="true" ma:internalName="ConfigListSynch" ma:readOnly="false">
      <xsd:simpleType>
        <xsd:restriction base="dms:DateTime"/>
      </xsd:simpleType>
    </xsd:element>
    <xsd:element name="TaxCatchAll" ma:index="24" nillable="true" ma:displayName="Taxonomy Catch All Column" ma:hidden="true" ma:list="{8df1a563-0ce5-47a8-8451-311dde5dd33e}" ma:internalName="TaxCatchAll" ma:readOnly="false" ma:showField="CatchAllData" ma:web="c5328c40-880a-4585-bbf1-a57e1cb97092">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element name="TaxCatchAllLabel" ma:index="33" nillable="true" ma:displayName="Taxonomy Catch All Column1" ma:hidden="true" ma:list="{8df1a563-0ce5-47a8-8451-311dde5dd33e}" ma:internalName="TaxCatchAllLabel" ma:readOnly="true" ma:showField="CatchAllDataLabel" ma:web="c5328c40-880a-4585-bbf1-a57e1cb97092">
      <xsd:complexType>
        <xsd:complexContent>
          <xsd:extension base="dms:MultiChoiceLookup">
            <xsd:sequence>
              <xsd:element name="Value" type="dms:Lookup" maxOccurs="unbounded" minOccurs="0" nillable="true"/>
            </xsd:sequence>
          </xsd:extension>
        </xsd:complexContent>
      </xsd:complexType>
    </xsd:element>
    <xsd:element name="SectorTaxHTField0" ma:index="34" nillable="true" ma:displayName="Sector_0" ma:hidden="true" ma:internalName="SectorTaxHTField0" ma:readOnly="false">
      <xsd:simpleType>
        <xsd:restriction base="dms:Note"/>
      </xsd:simpleType>
    </xsd:element>
    <xsd:element name="LegalDocumentTypeTaxHTField0" ma:index="35" nillable="true" ma:displayName="LegalDocumentType_0" ma:hidden="true" ma:internalName="LegalDocumentTypeTaxHTField0" ma:readOnly="false">
      <xsd:simpleType>
        <xsd:restriction base="dms:Note"/>
      </xsd:simpleType>
    </xsd:element>
    <xsd:element name="LegalTopicTaxHTField0" ma:index="36" nillable="true" ma:displayName="LegalTopic_0" ma:hidden="true" ma:internalName="LegalTopicTaxHTField0" ma:readOnly="false">
      <xsd:simpleType>
        <xsd:restriction base="dms:Note"/>
      </xsd:simpleType>
    </xsd:element>
    <xsd:element name="JurisdictionTaxHTField0" ma:index="37" nillable="true" ma:displayName="Jurisdiction_0" ma:hidden="true" ma:internalName="JurisdictionTaxHTField0"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cc91d8-8109-41b2-8baa-2405b18da33c"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description="" ma:hidden="true" ma:internalName="MediaServiceDateTaken"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description="" ma:hidden="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F33EB5-6103-4337-928F-D42E59E2A5E0}">
  <ds:schemaRefs>
    <ds:schemaRef ds:uri="http://schemas.microsoft.com/office/2006/metadata/properties"/>
    <ds:schemaRef ds:uri="http://schemas.microsoft.com/office/infopath/2007/PartnerControls"/>
    <ds:schemaRef ds:uri="c5328c40-880a-4585-bbf1-a57e1cb97092"/>
  </ds:schemaRefs>
</ds:datastoreItem>
</file>

<file path=customXml/itemProps2.xml><?xml version="1.0" encoding="utf-8"?>
<ds:datastoreItem xmlns:ds="http://schemas.openxmlformats.org/officeDocument/2006/customXml" ds:itemID="{65AEC390-682C-407B-A70B-CDFEA788607A}">
  <ds:schemaRefs>
    <ds:schemaRef ds:uri="http://schemas.microsoft.com/sharepoint/v3/contenttype/forms"/>
  </ds:schemaRefs>
</ds:datastoreItem>
</file>

<file path=customXml/itemProps3.xml><?xml version="1.0" encoding="utf-8"?>
<ds:datastoreItem xmlns:ds="http://schemas.openxmlformats.org/officeDocument/2006/customXml" ds:itemID="{6F593A5B-B3C2-42DF-B44D-D889AB7B2A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28c40-880a-4585-bbf1-a57e1cb97092"/>
    <ds:schemaRef ds:uri="b4cc91d8-8109-41b2-8baa-2405b18da3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490</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Oskar Vuckovic-Kihlstrom</dc:creator>
  <cp:keywords/>
  <dc:description/>
  <cp:lastModifiedBy>Oskar Vuckovic-Kihlstrom</cp:lastModifiedBy>
  <cp:revision>2</cp:revision>
  <dcterms:created xsi:type="dcterms:W3CDTF">2025-11-17T12:22:00Z</dcterms:created>
  <dcterms:modified xsi:type="dcterms:W3CDTF">2025-11-17T12:22:00Z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0x01010082D0B51EEABE574695EDDA2BB52A09600100FC37C1A2FAEFC04E96274E12E86F3DC7</vt:lpwstr>
  </property>
  <property fmtid="{D5CDD505-2E9C-101B-9397-08002B2CF9AE}" pid="3" name="docLang">
    <vt:lpwstr>en</vt:lpwstr>
  </property>
</Properties>
</file>