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BA6E" w14:textId="77777777" w:rsidR="000F39ED" w:rsidRDefault="000F39ED" w:rsidP="000F39E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LMA Sustainable Finance Middle East Sub-Chapter</w:t>
      </w:r>
    </w:p>
    <w:p w14:paraId="3DF4F48A" w14:textId="77777777" w:rsidR="000F39ED" w:rsidRDefault="000F39ED" w:rsidP="000F39ED">
      <w:pPr>
        <w:spacing w:after="0" w:line="240" w:lineRule="auto"/>
        <w:jc w:val="center"/>
        <w:rPr>
          <w:b/>
          <w:bCs/>
        </w:rPr>
      </w:pPr>
    </w:p>
    <w:p w14:paraId="79561F28" w14:textId="77777777" w:rsidR="000F39ED" w:rsidRDefault="000F39ED" w:rsidP="000F39E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Terms of Reference</w:t>
      </w:r>
    </w:p>
    <w:p w14:paraId="77F6373E" w14:textId="77777777" w:rsidR="000F39ED" w:rsidRDefault="000F39ED" w:rsidP="000F39ED">
      <w:pPr>
        <w:spacing w:after="0" w:line="240" w:lineRule="auto"/>
        <w:jc w:val="both"/>
        <w:rPr>
          <w:b/>
          <w:bCs/>
        </w:rPr>
      </w:pPr>
    </w:p>
    <w:p w14:paraId="3BB22D26" w14:textId="77777777" w:rsidR="000F39ED" w:rsidRDefault="000F39ED" w:rsidP="000F39ED">
      <w:pPr>
        <w:spacing w:after="0" w:line="240" w:lineRule="auto"/>
        <w:jc w:val="both"/>
        <w:rPr>
          <w:b/>
          <w:bCs/>
        </w:rPr>
      </w:pPr>
    </w:p>
    <w:p w14:paraId="3D7AECBD" w14:textId="77777777" w:rsidR="000F39ED" w:rsidRDefault="000F39ED" w:rsidP="000F39ED">
      <w:pPr>
        <w:spacing w:after="0" w:line="240" w:lineRule="auto"/>
        <w:jc w:val="both"/>
        <w:rPr>
          <w:b/>
          <w:bCs/>
        </w:rPr>
      </w:pPr>
      <w:r w:rsidRPr="007517E4">
        <w:rPr>
          <w:b/>
          <w:bCs/>
        </w:rPr>
        <w:t>Overall Objective</w:t>
      </w:r>
    </w:p>
    <w:p w14:paraId="2FD8D1A6" w14:textId="77777777" w:rsidR="000F39ED" w:rsidRPr="007517E4" w:rsidRDefault="000F39ED" w:rsidP="000F39ED">
      <w:pPr>
        <w:spacing w:after="0" w:line="240" w:lineRule="auto"/>
        <w:jc w:val="both"/>
        <w:rPr>
          <w:b/>
          <w:bCs/>
        </w:rPr>
      </w:pPr>
    </w:p>
    <w:p w14:paraId="206570B9" w14:textId="29F73A18" w:rsidR="000F39ED" w:rsidRDefault="000F39ED" w:rsidP="000F39ED">
      <w:pPr>
        <w:spacing w:after="0" w:line="240" w:lineRule="auto"/>
        <w:jc w:val="both"/>
      </w:pPr>
      <w:r w:rsidRPr="007517E4">
        <w:t>The LMA Sustainable Finance Middle East Sub-Chapter aims to support and facilitate the growth, standardisation, and accessibility of sustainable finance across the Middle East. The group will act as a regional platform to identify local market needs, encourage best practice, and contribute to the development of robust and credible sustainable finance frameworks.</w:t>
      </w:r>
    </w:p>
    <w:p w14:paraId="6EA23841" w14:textId="77777777" w:rsidR="000F39ED" w:rsidRPr="007517E4" w:rsidRDefault="000F39ED" w:rsidP="000F39ED">
      <w:pPr>
        <w:spacing w:after="0" w:line="240" w:lineRule="auto"/>
        <w:jc w:val="both"/>
      </w:pPr>
    </w:p>
    <w:p w14:paraId="605507A7" w14:textId="77777777" w:rsidR="000F39ED" w:rsidRDefault="000F39ED" w:rsidP="000F39E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Key Objectives</w:t>
      </w:r>
    </w:p>
    <w:p w14:paraId="39137D31" w14:textId="77777777" w:rsidR="000F39ED" w:rsidRDefault="000F39ED" w:rsidP="000F39ED">
      <w:pPr>
        <w:spacing w:after="0" w:line="240" w:lineRule="auto"/>
        <w:jc w:val="both"/>
      </w:pPr>
    </w:p>
    <w:p w14:paraId="3BB68D61" w14:textId="77777777" w:rsidR="000F39ED" w:rsidRDefault="000F39ED" w:rsidP="000F39ED">
      <w:pPr>
        <w:spacing w:after="0" w:line="240" w:lineRule="auto"/>
        <w:jc w:val="both"/>
      </w:pPr>
      <w:r w:rsidRPr="007517E4">
        <w:t>The Sub-Chapter will concentrate on the following priorities:</w:t>
      </w:r>
    </w:p>
    <w:p w14:paraId="655A8E24" w14:textId="77777777" w:rsidR="000F39ED" w:rsidRPr="007517E4" w:rsidRDefault="000F39ED" w:rsidP="000F39ED">
      <w:pPr>
        <w:spacing w:after="0" w:line="240" w:lineRule="auto"/>
        <w:jc w:val="both"/>
      </w:pPr>
    </w:p>
    <w:p w14:paraId="5E0BD4FE" w14:textId="77777777" w:rsidR="000F39ED" w:rsidRPr="007517E4" w:rsidRDefault="000F39ED" w:rsidP="000F39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7517E4">
        <w:rPr>
          <w:b/>
          <w:bCs/>
        </w:rPr>
        <w:t>Support and Contribute to the LMA Sustainability Committee</w:t>
      </w:r>
    </w:p>
    <w:p w14:paraId="06F6ECEB" w14:textId="77777777" w:rsidR="000F39ED" w:rsidRDefault="000F39ED" w:rsidP="000F39ED">
      <w:pPr>
        <w:pStyle w:val="ListParagraph"/>
        <w:spacing w:after="0" w:line="240" w:lineRule="auto"/>
        <w:jc w:val="both"/>
      </w:pPr>
      <w:r w:rsidRPr="001746DC">
        <w:t>Actively contribute to the work of the LMA Sustainability Committee to ensure that outputs, guidance, and market standards accurately reflect the Middle East's unique market conditions, challenges, and opportunities.</w:t>
      </w:r>
    </w:p>
    <w:p w14:paraId="49EBA247" w14:textId="77777777" w:rsidR="000F39ED" w:rsidRDefault="000F39ED" w:rsidP="000F39ED">
      <w:pPr>
        <w:pStyle w:val="ListParagraph"/>
        <w:spacing w:after="0" w:line="240" w:lineRule="auto"/>
        <w:jc w:val="both"/>
      </w:pPr>
    </w:p>
    <w:p w14:paraId="6FBD4C64" w14:textId="77777777" w:rsidR="000F39ED" w:rsidRPr="007517E4" w:rsidRDefault="000F39ED" w:rsidP="000F39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7517E4">
        <w:rPr>
          <w:b/>
          <w:bCs/>
        </w:rPr>
        <w:t>Support the Deployment of Transition Finance</w:t>
      </w:r>
    </w:p>
    <w:p w14:paraId="4C2886EC" w14:textId="77777777" w:rsidR="000F39ED" w:rsidRPr="0032766D" w:rsidRDefault="000F39ED" w:rsidP="000F39ED">
      <w:pPr>
        <w:pStyle w:val="ListParagraph"/>
        <w:spacing w:after="0" w:line="240" w:lineRule="auto"/>
        <w:jc w:val="both"/>
      </w:pPr>
      <w:r w:rsidRPr="0032766D">
        <w:t>Transition finance is an emerging area of focus across GCC banks. There is a clear need for stronger guidance and clearer definitions on what does</w:t>
      </w:r>
      <w:r>
        <w:t>,</w:t>
      </w:r>
      <w:r w:rsidRPr="0032766D">
        <w:t xml:space="preserve"> and does not</w:t>
      </w:r>
      <w:r>
        <w:t>,</w:t>
      </w:r>
      <w:r w:rsidRPr="0032766D">
        <w:t xml:space="preserve"> qualify as transition finance, to reduce market confusion and uncertainty around disclosures.</w:t>
      </w:r>
    </w:p>
    <w:p w14:paraId="49CCE978" w14:textId="77777777" w:rsidR="000F39ED" w:rsidRDefault="000F39ED" w:rsidP="000F39ED">
      <w:pPr>
        <w:pStyle w:val="ListParagraph"/>
        <w:spacing w:after="0" w:line="240" w:lineRule="auto"/>
        <w:jc w:val="both"/>
      </w:pPr>
    </w:p>
    <w:p w14:paraId="55258359" w14:textId="77777777" w:rsidR="000F39ED" w:rsidRDefault="000F39ED" w:rsidP="000F39ED">
      <w:pPr>
        <w:pStyle w:val="ListParagraph"/>
        <w:spacing w:after="0" w:line="240" w:lineRule="auto"/>
        <w:jc w:val="both"/>
      </w:pPr>
      <w:r>
        <w:t xml:space="preserve">The Sub-Chapter </w:t>
      </w:r>
      <w:proofErr w:type="gramStart"/>
      <w:r>
        <w:t>will:-</w:t>
      </w:r>
      <w:proofErr w:type="gramEnd"/>
    </w:p>
    <w:p w14:paraId="1B2CD69C" w14:textId="77777777" w:rsidR="000F39ED" w:rsidRDefault="000F39ED" w:rsidP="000F39ED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>support the work of the LMA Transition Finance Taskforce</w:t>
      </w:r>
      <w:r>
        <w:rPr>
          <w:rStyle w:val="FootnoteReference"/>
        </w:rPr>
        <w:footnoteReference w:id="2"/>
      </w:r>
      <w:r>
        <w:t xml:space="preserve"> in </w:t>
      </w:r>
      <w:r w:rsidRPr="0032766D">
        <w:t>developing globally applicable guidance, ensuring regional perspectives are represented</w:t>
      </w:r>
      <w:r>
        <w:t>; and</w:t>
      </w:r>
    </w:p>
    <w:p w14:paraId="2231DA04" w14:textId="77777777" w:rsidR="000F39ED" w:rsidRDefault="000F39ED" w:rsidP="000F39ED">
      <w:pPr>
        <w:pStyle w:val="ListParagraph"/>
        <w:numPr>
          <w:ilvl w:val="1"/>
          <w:numId w:val="4"/>
        </w:numPr>
        <w:spacing w:after="0" w:line="240" w:lineRule="auto"/>
        <w:jc w:val="both"/>
      </w:pPr>
      <w:r>
        <w:t>d</w:t>
      </w:r>
      <w:r w:rsidRPr="003045B1">
        <w:t xml:space="preserve">evelop </w:t>
      </w:r>
      <w:r w:rsidRPr="0032766D">
        <w:t>a checklist or key discussion points that integrate just transition considerations, including community protection and development</w:t>
      </w:r>
      <w:r>
        <w:t>.</w:t>
      </w:r>
    </w:p>
    <w:p w14:paraId="6D859FE5" w14:textId="77777777" w:rsidR="000F39ED" w:rsidRDefault="000F39ED" w:rsidP="000F39ED">
      <w:pPr>
        <w:pStyle w:val="ListParagraph"/>
        <w:spacing w:after="0" w:line="240" w:lineRule="auto"/>
        <w:jc w:val="both"/>
      </w:pPr>
    </w:p>
    <w:p w14:paraId="3A54093B" w14:textId="77777777" w:rsidR="000F39ED" w:rsidRDefault="000F39ED" w:rsidP="000F39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F46D96">
        <w:rPr>
          <w:b/>
          <w:bCs/>
        </w:rPr>
        <w:t>Develop Regional Guidance on Green Loan Eligibility Criteria</w:t>
      </w:r>
    </w:p>
    <w:p w14:paraId="44F2EBC8" w14:textId="77777777" w:rsidR="000F39ED" w:rsidRDefault="000F39ED" w:rsidP="000F39ED">
      <w:pPr>
        <w:pStyle w:val="ListParagraph"/>
        <w:spacing w:after="0" w:line="240" w:lineRule="auto"/>
        <w:jc w:val="both"/>
      </w:pPr>
      <w:r w:rsidRPr="00AC3ED9">
        <w:t>Recognising differing levels of market maturity, the Sub-Chapter will develop region-specific guidance on the application of the Green Loan Principles</w:t>
      </w:r>
      <w:r>
        <w:t>, and potential interplay between ICMA’s Green Enabling Projects Guidance</w:t>
      </w:r>
      <w:r w:rsidRPr="00AC3ED9">
        <w:t xml:space="preserve">. This includes exploring how global frameworks (e.g. EU Taxonomy, Asian market practices) can be </w:t>
      </w:r>
      <w:r>
        <w:t xml:space="preserve">leveraged and combined with </w:t>
      </w:r>
      <w:r w:rsidRPr="00AC3ED9">
        <w:t>national contexts and sectoral priorities across the Middle East</w:t>
      </w:r>
      <w:r>
        <w:t xml:space="preserve"> to create a scalable market. </w:t>
      </w:r>
      <w:r w:rsidRPr="00F46D96">
        <w:t xml:space="preserve"> </w:t>
      </w:r>
    </w:p>
    <w:p w14:paraId="364C3F35" w14:textId="77777777" w:rsidR="000F39ED" w:rsidRDefault="000F39ED" w:rsidP="000F39ED">
      <w:pPr>
        <w:pStyle w:val="ListParagraph"/>
        <w:spacing w:after="0" w:line="240" w:lineRule="auto"/>
        <w:jc w:val="both"/>
      </w:pPr>
    </w:p>
    <w:p w14:paraId="2621AF25" w14:textId="77777777" w:rsidR="000F39ED" w:rsidRDefault="000F39ED" w:rsidP="000F39ED">
      <w:pPr>
        <w:pStyle w:val="ListParagraph"/>
        <w:spacing w:after="0" w:line="240" w:lineRule="auto"/>
        <w:jc w:val="both"/>
      </w:pPr>
    </w:p>
    <w:p w14:paraId="7548DE94" w14:textId="77777777" w:rsidR="000F39ED" w:rsidRDefault="000F39ED" w:rsidP="000F39ED">
      <w:pPr>
        <w:pStyle w:val="ListParagraph"/>
        <w:spacing w:after="0" w:line="240" w:lineRule="auto"/>
        <w:jc w:val="both"/>
        <w:rPr>
          <w:b/>
          <w:bCs/>
        </w:rPr>
      </w:pPr>
    </w:p>
    <w:p w14:paraId="078FC031" w14:textId="77777777" w:rsidR="000F39ED" w:rsidRDefault="000F39ED" w:rsidP="000F39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F46D96">
        <w:rPr>
          <w:b/>
          <w:bCs/>
        </w:rPr>
        <w:lastRenderedPageBreak/>
        <w:t>Define Social Loan Eligibility Use Cases for the Region</w:t>
      </w:r>
    </w:p>
    <w:p w14:paraId="30CCC4FC" w14:textId="7D411659" w:rsidR="000F39ED" w:rsidRDefault="000F39ED" w:rsidP="000F39ED">
      <w:pPr>
        <w:pStyle w:val="ListParagraph"/>
        <w:spacing w:after="0" w:line="240" w:lineRule="auto"/>
        <w:jc w:val="both"/>
        <w:rPr>
          <w:b/>
          <w:bCs/>
        </w:rPr>
      </w:pPr>
      <w:r>
        <w:t>The definition of “social” varies significantly across countries, making social loan portfolios difficult to structure in the Gulf.  The Sub-Chapter will work to create a better understanding of “social” within a regional context and develop guidance around, e.g. target populations.</w:t>
      </w:r>
      <w:r w:rsidR="00EE4B60">
        <w:t xml:space="preserve"> Can potentially draw from the work of the Global Ethical Finance Initiative referenced below in this regard.</w:t>
      </w:r>
    </w:p>
    <w:p w14:paraId="3691D3CE" w14:textId="77777777" w:rsidR="000F39ED" w:rsidRDefault="000F39ED" w:rsidP="000F39ED">
      <w:pPr>
        <w:pStyle w:val="ListParagraph"/>
        <w:spacing w:after="0" w:line="240" w:lineRule="auto"/>
        <w:jc w:val="both"/>
        <w:rPr>
          <w:b/>
          <w:bCs/>
        </w:rPr>
      </w:pPr>
    </w:p>
    <w:p w14:paraId="13775AF5" w14:textId="77777777" w:rsidR="000F39ED" w:rsidRPr="00224B48" w:rsidRDefault="000F39ED" w:rsidP="000F39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224B48">
        <w:rPr>
          <w:b/>
          <w:bCs/>
        </w:rPr>
        <w:t>Develop Industry-Specific Sustainability-Linked Loan (SLL) Guidance</w:t>
      </w:r>
    </w:p>
    <w:p w14:paraId="64E929AA" w14:textId="77777777" w:rsidR="000F39ED" w:rsidRDefault="000F39ED" w:rsidP="000F39ED">
      <w:pPr>
        <w:pStyle w:val="ListParagraph"/>
        <w:spacing w:after="0" w:line="240" w:lineRule="auto"/>
        <w:jc w:val="both"/>
      </w:pPr>
      <w:r>
        <w:t>This Sub-Chapter will work to advance the development of practical, industry-specific guidance for structuring SLLs in the Middle East. Drawing on international best practices in ESG materiality by sector, it will aim to define clear checklists for key regional industries.</w:t>
      </w:r>
    </w:p>
    <w:p w14:paraId="5FF05598" w14:textId="77777777" w:rsidR="000F39ED" w:rsidRDefault="000F39ED" w:rsidP="000F39ED">
      <w:pPr>
        <w:pStyle w:val="ListParagraph"/>
        <w:spacing w:after="0" w:line="240" w:lineRule="auto"/>
        <w:jc w:val="both"/>
      </w:pPr>
    </w:p>
    <w:p w14:paraId="22108535" w14:textId="77777777" w:rsidR="000F39ED" w:rsidRDefault="000F39ED" w:rsidP="000F39ED">
      <w:pPr>
        <w:pStyle w:val="ListParagraph"/>
        <w:spacing w:after="0" w:line="240" w:lineRule="auto"/>
        <w:jc w:val="both"/>
      </w:pPr>
      <w:r>
        <w:t>The initiative may also consider how to align this guidance with existing frameworks and support capacity building for both lenders and borrowers in applying credible and consistent SLL structures.</w:t>
      </w:r>
    </w:p>
    <w:p w14:paraId="6ED305B0" w14:textId="77777777" w:rsidR="000F39ED" w:rsidRDefault="000F39ED" w:rsidP="000F39ED">
      <w:pPr>
        <w:pStyle w:val="ListParagraph"/>
        <w:spacing w:after="0" w:line="240" w:lineRule="auto"/>
        <w:jc w:val="both"/>
        <w:rPr>
          <w:b/>
          <w:bCs/>
        </w:rPr>
      </w:pPr>
    </w:p>
    <w:p w14:paraId="308E1D0F" w14:textId="77777777" w:rsidR="000F39ED" w:rsidRPr="002C227F" w:rsidRDefault="000F39ED" w:rsidP="000F39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2C227F">
        <w:rPr>
          <w:b/>
          <w:bCs/>
        </w:rPr>
        <w:t>Explore the Interplay Between Sustainable Finance and Islamic Finance</w:t>
      </w:r>
    </w:p>
    <w:p w14:paraId="56FDA67C" w14:textId="77777777" w:rsidR="000F39ED" w:rsidRPr="004B0481" w:rsidRDefault="000F39ED" w:rsidP="000F39ED">
      <w:pPr>
        <w:pStyle w:val="ListParagraph"/>
        <w:spacing w:after="0" w:line="240" w:lineRule="auto"/>
        <w:jc w:val="both"/>
      </w:pPr>
      <w:r w:rsidRPr="002C227F">
        <w:t>Given the prominence of Islamic finance in the region, the Sub-Chapter will explore areas of alignment and potential synergy between Islamic finance principles and sustainable finance frameworks, with a particular focus on how these can be effectively applied in the loan market.</w:t>
      </w:r>
    </w:p>
    <w:p w14:paraId="5BE8BB50" w14:textId="77777777" w:rsidR="000F39ED" w:rsidRPr="002C227F" w:rsidRDefault="000F39ED" w:rsidP="000F39ED">
      <w:pPr>
        <w:pStyle w:val="ListParagraph"/>
        <w:spacing w:after="0" w:line="240" w:lineRule="auto"/>
        <w:jc w:val="both"/>
      </w:pPr>
    </w:p>
    <w:p w14:paraId="0A66C4DB" w14:textId="77777777" w:rsidR="000F39ED" w:rsidRPr="00F61A2D" w:rsidRDefault="000F39ED" w:rsidP="000F39ED">
      <w:pPr>
        <w:pStyle w:val="ListParagraph"/>
        <w:spacing w:after="0" w:line="240" w:lineRule="auto"/>
        <w:jc w:val="both"/>
      </w:pPr>
      <w:r w:rsidRPr="002C227F">
        <w:t>This may include</w:t>
      </w:r>
      <w:r w:rsidRPr="004B0481">
        <w:t xml:space="preserve"> r</w:t>
      </w:r>
      <w:r w:rsidRPr="002C227F">
        <w:t xml:space="preserve">eviewing and, where relevant, </w:t>
      </w:r>
      <w:r>
        <w:t>complement</w:t>
      </w:r>
      <w:r w:rsidRPr="002C227F">
        <w:t xml:space="preserve"> existing guidance (e.g. from </w:t>
      </w:r>
      <w:r>
        <w:t xml:space="preserve">the Central Bank of the UAE and the Higher </w:t>
      </w:r>
      <w:proofErr w:type="spellStart"/>
      <w:r>
        <w:t>Shari’ah</w:t>
      </w:r>
      <w:proofErr w:type="spellEnd"/>
      <w:r>
        <w:t xml:space="preserve"> Authority</w:t>
      </w:r>
      <w:r w:rsidRPr="0086254E">
        <w:rPr>
          <w:vertAlign w:val="superscript"/>
        </w:rPr>
        <w:footnoteReference w:id="3"/>
      </w:r>
      <w:r>
        <w:t xml:space="preserve">, </w:t>
      </w:r>
      <w:r w:rsidRPr="002C227F">
        <w:t>ICMA</w:t>
      </w:r>
      <w:r w:rsidRPr="0086254E">
        <w:rPr>
          <w:vertAlign w:val="superscript"/>
        </w:rPr>
        <w:footnoteReference w:id="4"/>
      </w:r>
      <w:r>
        <w:t>, the Global Ethical Finance Initiative</w:t>
      </w:r>
      <w:r>
        <w:rPr>
          <w:rStyle w:val="FootnoteReference"/>
        </w:rPr>
        <w:footnoteReference w:id="5"/>
      </w:r>
      <w:r w:rsidRPr="002C227F">
        <w:t xml:space="preserve"> or other standard setters</w:t>
      </w:r>
      <w:r w:rsidRPr="0086254E">
        <w:rPr>
          <w:vertAlign w:val="superscript"/>
        </w:rPr>
        <w:footnoteReference w:id="6"/>
      </w:r>
      <w:r w:rsidRPr="002C227F">
        <w:t>) to better reflect loan market priorities and Islamic finance structures</w:t>
      </w:r>
      <w:r w:rsidRPr="004B0481">
        <w:t>.</w:t>
      </w:r>
    </w:p>
    <w:p w14:paraId="239AC267" w14:textId="77777777" w:rsidR="000F39ED" w:rsidRDefault="000F39ED" w:rsidP="000F39ED">
      <w:pPr>
        <w:pStyle w:val="ListParagraph"/>
        <w:spacing w:after="0" w:line="240" w:lineRule="auto"/>
        <w:jc w:val="both"/>
        <w:rPr>
          <w:b/>
          <w:bCs/>
        </w:rPr>
      </w:pPr>
    </w:p>
    <w:p w14:paraId="0320AFC8" w14:textId="77777777" w:rsidR="000F39ED" w:rsidRDefault="000F39ED" w:rsidP="000F39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4C1728">
        <w:rPr>
          <w:b/>
          <w:bCs/>
        </w:rPr>
        <w:t>Institutional Collaboration &amp; Alignment</w:t>
      </w:r>
    </w:p>
    <w:p w14:paraId="18042E47" w14:textId="77777777" w:rsidR="000F39ED" w:rsidRDefault="000F39ED" w:rsidP="000F39ED">
      <w:pPr>
        <w:pStyle w:val="ListParagraph"/>
        <w:spacing w:after="0" w:line="240" w:lineRule="auto"/>
        <w:jc w:val="both"/>
      </w:pPr>
      <w:r w:rsidRPr="00783FCF">
        <w:t>The Sub-Chapter will foster alignment with key regional stakeholders to avoid duplication and promote consistent approaches.</w:t>
      </w:r>
    </w:p>
    <w:p w14:paraId="73700A1F" w14:textId="77777777" w:rsidR="000F39ED" w:rsidRPr="00783FCF" w:rsidRDefault="000F39ED" w:rsidP="000F39ED">
      <w:pPr>
        <w:pStyle w:val="ListParagraph"/>
        <w:spacing w:after="0" w:line="240" w:lineRule="auto"/>
        <w:jc w:val="both"/>
      </w:pPr>
    </w:p>
    <w:p w14:paraId="2C413E2D" w14:textId="77777777" w:rsidR="000F39ED" w:rsidRPr="0085222F" w:rsidRDefault="000F39ED" w:rsidP="000F39E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b/>
          <w:bCs/>
        </w:rPr>
      </w:pPr>
      <w:r w:rsidRPr="0085222F">
        <w:rPr>
          <w:b/>
          <w:bCs/>
        </w:rPr>
        <w:t>Regulators &amp; Central Banks:</w:t>
      </w:r>
    </w:p>
    <w:p w14:paraId="5DFB0203" w14:textId="77777777" w:rsidR="000F39ED" w:rsidRDefault="000F39ED" w:rsidP="000F39ED">
      <w:pPr>
        <w:pStyle w:val="ListParagraph"/>
        <w:spacing w:after="0" w:line="240" w:lineRule="auto"/>
        <w:jc w:val="both"/>
      </w:pPr>
      <w:r>
        <w:t>Engage</w:t>
      </w:r>
      <w:r w:rsidRPr="00454D90">
        <w:t xml:space="preserve"> with central banks </w:t>
      </w:r>
      <w:r>
        <w:t>and regulatory bodies (e.g. ADGM – Sustainable Finance Hub</w:t>
      </w:r>
      <w:r>
        <w:rPr>
          <w:rStyle w:val="FootnoteReference"/>
        </w:rPr>
        <w:footnoteReference w:id="7"/>
      </w:r>
      <w:r>
        <w:t xml:space="preserve"> and SAMA</w:t>
      </w:r>
      <w:r>
        <w:rPr>
          <w:rStyle w:val="FootnoteReference"/>
        </w:rPr>
        <w:footnoteReference w:id="8"/>
      </w:r>
      <w:r>
        <w:t xml:space="preserve"> EBAC) </w:t>
      </w:r>
      <w:r w:rsidRPr="00454D90">
        <w:t xml:space="preserve">to </w:t>
      </w:r>
      <w:r w:rsidRPr="0083435D">
        <w:t>align terminology, product classification, and reporting methodologies, reducing the risk of greenwashing</w:t>
      </w:r>
      <w:r w:rsidRPr="00454D90">
        <w:t>.</w:t>
      </w:r>
      <w:r>
        <w:t xml:space="preserve"> </w:t>
      </w:r>
    </w:p>
    <w:p w14:paraId="018919BD" w14:textId="77777777" w:rsidR="000F39ED" w:rsidRPr="00454D90" w:rsidRDefault="000F39ED" w:rsidP="000F39ED">
      <w:pPr>
        <w:pStyle w:val="ListParagraph"/>
        <w:spacing w:after="0" w:line="240" w:lineRule="auto"/>
        <w:jc w:val="both"/>
      </w:pPr>
    </w:p>
    <w:p w14:paraId="03AD29AD" w14:textId="77777777" w:rsidR="000F39ED" w:rsidRPr="0085222F" w:rsidRDefault="000F39ED" w:rsidP="000F39E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b/>
          <w:bCs/>
        </w:rPr>
      </w:pPr>
      <w:r w:rsidRPr="0085222F">
        <w:rPr>
          <w:b/>
          <w:bCs/>
        </w:rPr>
        <w:t>Industry Bodies:</w:t>
      </w:r>
    </w:p>
    <w:p w14:paraId="2524864D" w14:textId="77777777" w:rsidR="000F39ED" w:rsidRDefault="000F39ED" w:rsidP="000F39ED">
      <w:pPr>
        <w:pStyle w:val="ListParagraph"/>
        <w:spacing w:after="0" w:line="240" w:lineRule="auto"/>
        <w:jc w:val="both"/>
      </w:pPr>
      <w:r w:rsidRPr="00454D90">
        <w:lastRenderedPageBreak/>
        <w:t xml:space="preserve">Coordinate with </w:t>
      </w:r>
      <w:r>
        <w:t>organisations</w:t>
      </w:r>
      <w:r w:rsidRPr="00454D90">
        <w:t xml:space="preserve"> </w:t>
      </w:r>
      <w:r>
        <w:t xml:space="preserve">such as the </w:t>
      </w:r>
      <w:r w:rsidRPr="00454D90">
        <w:t>Dubai Sustainable Finance Working Group</w:t>
      </w:r>
      <w:r>
        <w:rPr>
          <w:rStyle w:val="FootnoteReference"/>
        </w:rPr>
        <w:footnoteReference w:id="9"/>
      </w:r>
      <w:r w:rsidRPr="00454D90">
        <w:t xml:space="preserve">, </w:t>
      </w:r>
      <w:r>
        <w:t>UAE Banks Federation</w:t>
      </w:r>
      <w:r>
        <w:rPr>
          <w:rStyle w:val="FootnoteReference"/>
        </w:rPr>
        <w:footnoteReference w:id="10"/>
      </w:r>
      <w:r w:rsidRPr="00454D90">
        <w:t xml:space="preserve">, </w:t>
      </w:r>
      <w:r>
        <w:t xml:space="preserve">the </w:t>
      </w:r>
      <w:r w:rsidRPr="00454D90">
        <w:t>Kuwait Banking Association</w:t>
      </w:r>
      <w:r>
        <w:t xml:space="preserve"> – ESG Committee</w:t>
      </w:r>
      <w:r>
        <w:rPr>
          <w:rStyle w:val="FootnoteReference"/>
        </w:rPr>
        <w:footnoteReference w:id="11"/>
      </w:r>
      <w:r>
        <w:t xml:space="preserve"> and Global Capacity Building Coalition</w:t>
      </w:r>
      <w:r>
        <w:rPr>
          <w:rStyle w:val="FootnoteReference"/>
        </w:rPr>
        <w:footnoteReference w:id="12"/>
      </w:r>
      <w:r w:rsidRPr="00454D90">
        <w:t xml:space="preserve"> to </w:t>
      </w:r>
      <w:r>
        <w:t>share insights and harmonise initiatives.</w:t>
      </w:r>
    </w:p>
    <w:p w14:paraId="0540FCA5" w14:textId="77777777" w:rsidR="000F39ED" w:rsidRPr="00454D90" w:rsidRDefault="000F39ED" w:rsidP="000F39ED">
      <w:pPr>
        <w:pStyle w:val="ListParagraph"/>
        <w:spacing w:after="0" w:line="240" w:lineRule="auto"/>
        <w:jc w:val="both"/>
      </w:pPr>
    </w:p>
    <w:p w14:paraId="2928F0C4" w14:textId="77777777" w:rsidR="000F39ED" w:rsidRDefault="000F39ED" w:rsidP="000F39E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Stock Exchanges</w:t>
      </w:r>
    </w:p>
    <w:p w14:paraId="22A94E7B" w14:textId="77777777" w:rsidR="000F39ED" w:rsidRPr="00204191" w:rsidRDefault="000F39ED" w:rsidP="000F39ED">
      <w:pPr>
        <w:spacing w:after="0" w:line="240" w:lineRule="auto"/>
        <w:ind w:left="720"/>
        <w:jc w:val="both"/>
      </w:pPr>
      <w:r w:rsidRPr="00204191">
        <w:t xml:space="preserve">Coordinate with coalitions such as the Sustainable Stock Exchanges Initiative to ensure engagement with capital markets. </w:t>
      </w:r>
    </w:p>
    <w:p w14:paraId="54349A83" w14:textId="77777777" w:rsidR="000F39ED" w:rsidRPr="00945BC6" w:rsidRDefault="000F39ED" w:rsidP="000F39ED">
      <w:pPr>
        <w:spacing w:after="0" w:line="240" w:lineRule="auto"/>
        <w:ind w:left="720"/>
        <w:jc w:val="both"/>
        <w:rPr>
          <w:b/>
          <w:bCs/>
        </w:rPr>
      </w:pPr>
    </w:p>
    <w:p w14:paraId="01188346" w14:textId="77777777" w:rsidR="000F39ED" w:rsidRPr="0085222F" w:rsidRDefault="000F39ED" w:rsidP="000F39E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b/>
          <w:bCs/>
        </w:rPr>
      </w:pPr>
      <w:r w:rsidRPr="0085222F">
        <w:rPr>
          <w:b/>
          <w:bCs/>
        </w:rPr>
        <w:t>Cross-chapter Linkages:</w:t>
      </w:r>
    </w:p>
    <w:p w14:paraId="2470D0F9" w14:textId="77777777" w:rsidR="000F39ED" w:rsidRDefault="000F39ED" w:rsidP="000F39ED">
      <w:pPr>
        <w:spacing w:after="0" w:line="240" w:lineRule="auto"/>
        <w:ind w:firstLine="720"/>
        <w:jc w:val="both"/>
      </w:pPr>
      <w:r w:rsidRPr="00454D90">
        <w:t>Ensure integration and collaboration with other LMA sub-groups.</w:t>
      </w:r>
    </w:p>
    <w:p w14:paraId="170DB14F" w14:textId="77777777" w:rsidR="000F39ED" w:rsidRDefault="000F39ED" w:rsidP="000F39ED">
      <w:pPr>
        <w:spacing w:after="0" w:line="240" w:lineRule="auto"/>
        <w:ind w:firstLine="720"/>
        <w:jc w:val="both"/>
      </w:pPr>
    </w:p>
    <w:p w14:paraId="0357E24E" w14:textId="77777777" w:rsidR="000F39ED" w:rsidRPr="002023D7" w:rsidRDefault="000F39ED" w:rsidP="000F39ED">
      <w:pPr>
        <w:spacing w:after="0" w:line="240" w:lineRule="auto"/>
        <w:ind w:left="720"/>
        <w:jc w:val="both"/>
        <w:rPr>
          <w:i/>
          <w:iCs/>
        </w:rPr>
      </w:pPr>
      <w:r>
        <w:rPr>
          <w:i/>
          <w:iCs/>
        </w:rPr>
        <w:t xml:space="preserve">Sub-Chapter </w:t>
      </w:r>
      <w:r w:rsidRPr="002023D7">
        <w:rPr>
          <w:i/>
          <w:iCs/>
        </w:rPr>
        <w:t>Members are encouraged to suggest other relevant bodies or regulators to engage with and facilitate introductions where possible.</w:t>
      </w:r>
    </w:p>
    <w:p w14:paraId="5D9187D0" w14:textId="77777777" w:rsidR="000F39ED" w:rsidRDefault="000F39ED" w:rsidP="000F39ED">
      <w:pPr>
        <w:spacing w:after="0" w:line="240" w:lineRule="auto"/>
        <w:ind w:left="720"/>
        <w:jc w:val="both"/>
      </w:pPr>
    </w:p>
    <w:p w14:paraId="331424F8" w14:textId="77777777" w:rsidR="000F39ED" w:rsidRPr="007517E4" w:rsidRDefault="000F39ED" w:rsidP="000F39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7517E4">
        <w:rPr>
          <w:b/>
          <w:bCs/>
        </w:rPr>
        <w:t>Host Regional Roundtables and Knowledge-Sharing Forums</w:t>
      </w:r>
    </w:p>
    <w:p w14:paraId="26DB1D8E" w14:textId="77777777" w:rsidR="000F39ED" w:rsidRDefault="000F39ED" w:rsidP="000F39ED">
      <w:pPr>
        <w:pStyle w:val="ListParagraph"/>
        <w:spacing w:after="0" w:line="240" w:lineRule="auto"/>
        <w:jc w:val="both"/>
      </w:pPr>
      <w:r>
        <w:t xml:space="preserve">Organise a series of in-person and virtual events to share on-the-ground insights, identify market gaps, and promote best practices among banks, corporates, and advisers operating across the region.  </w:t>
      </w:r>
    </w:p>
    <w:p w14:paraId="3F0993CC" w14:textId="77777777" w:rsidR="000F39ED" w:rsidRDefault="000F39ED" w:rsidP="000F39ED">
      <w:pPr>
        <w:pStyle w:val="ListParagraph"/>
        <w:spacing w:after="0" w:line="240" w:lineRule="auto"/>
        <w:jc w:val="both"/>
      </w:pPr>
    </w:p>
    <w:p w14:paraId="6D77D053" w14:textId="77777777" w:rsidR="000F39ED" w:rsidRDefault="000F39ED" w:rsidP="000F39ED">
      <w:pPr>
        <w:pStyle w:val="ListParagraph"/>
        <w:spacing w:after="0" w:line="240" w:lineRule="auto"/>
        <w:jc w:val="both"/>
      </w:pPr>
      <w:r>
        <w:t>Where appropriate, look to align with established events, e.g. Abu Dhabi Sustainability Week or (new) Environmental Finance Conference.</w:t>
      </w:r>
    </w:p>
    <w:p w14:paraId="287FEA7A" w14:textId="77777777" w:rsidR="000F39ED" w:rsidRDefault="000F39ED" w:rsidP="000F39ED">
      <w:pPr>
        <w:spacing w:after="0" w:line="240" w:lineRule="auto"/>
        <w:ind w:left="720"/>
        <w:jc w:val="both"/>
      </w:pPr>
    </w:p>
    <w:p w14:paraId="4E531A91" w14:textId="77777777" w:rsidR="000F39ED" w:rsidRPr="00A268D2" w:rsidRDefault="000F39ED" w:rsidP="000F39E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A268D2">
        <w:rPr>
          <w:b/>
          <w:bCs/>
        </w:rPr>
        <w:t>Monitor and Share Insights on Regional Policy and Market Developments</w:t>
      </w:r>
    </w:p>
    <w:p w14:paraId="652F1B1E" w14:textId="77777777" w:rsidR="000F39ED" w:rsidRDefault="000F39ED" w:rsidP="000F39ED">
      <w:pPr>
        <w:spacing w:after="0" w:line="240" w:lineRule="auto"/>
        <w:ind w:left="720"/>
        <w:jc w:val="both"/>
      </w:pPr>
      <w:r w:rsidRPr="00B9306B">
        <w:t>Track key regulatory, taxonomy, and market-led developments related to sustainable finance in Middle Eastern jurisdictions and produce periodic summaries or briefing notes for the wider LMA community.</w:t>
      </w:r>
      <w:r>
        <w:t xml:space="preserve">  Special emphasis to be placed on promoting consistency in labelling, terminology and disclosure standards across the region.</w:t>
      </w:r>
    </w:p>
    <w:p w14:paraId="5B30440F" w14:textId="77777777" w:rsidR="000F39ED" w:rsidRDefault="000F39ED" w:rsidP="000F39ED">
      <w:pPr>
        <w:spacing w:after="0" w:line="240" w:lineRule="auto"/>
        <w:ind w:left="720"/>
        <w:jc w:val="both"/>
      </w:pPr>
    </w:p>
    <w:p w14:paraId="65AFDE72" w14:textId="77777777" w:rsidR="000F39ED" w:rsidRDefault="000F39ED" w:rsidP="000F39ED">
      <w:pPr>
        <w:spacing w:after="0" w:line="240" w:lineRule="auto"/>
        <w:ind w:left="720"/>
        <w:jc w:val="both"/>
      </w:pPr>
    </w:p>
    <w:p w14:paraId="26F5A3F1" w14:textId="77777777" w:rsidR="000F39ED" w:rsidRDefault="000F39ED" w:rsidP="000F39ED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389F16F0" w14:textId="77777777" w:rsidR="000F39ED" w:rsidRDefault="000F39ED" w:rsidP="000F39ED">
      <w:pPr>
        <w:spacing w:after="0" w:line="240" w:lineRule="auto"/>
        <w:ind w:left="720"/>
        <w:jc w:val="both"/>
        <w:rPr>
          <w:b/>
          <w:bCs/>
        </w:rPr>
      </w:pPr>
      <w:r w:rsidRPr="00FD73C5">
        <w:rPr>
          <w:b/>
          <w:bCs/>
        </w:rPr>
        <w:lastRenderedPageBreak/>
        <w:t>Members</w:t>
      </w:r>
    </w:p>
    <w:p w14:paraId="4A3FCC7B" w14:textId="77777777" w:rsidR="000F39ED" w:rsidRDefault="000F39ED" w:rsidP="000F39ED">
      <w:pPr>
        <w:spacing w:after="0" w:line="240" w:lineRule="auto"/>
        <w:ind w:left="720"/>
        <w:jc w:val="both"/>
        <w:rPr>
          <w:b/>
          <w:bCs/>
        </w:rPr>
      </w:pPr>
    </w:p>
    <w:p w14:paraId="0C94559E" w14:textId="77777777" w:rsidR="000F39ED" w:rsidRDefault="000F39ED" w:rsidP="000F39ED">
      <w:pPr>
        <w:spacing w:after="0" w:line="240" w:lineRule="auto"/>
        <w:ind w:left="720"/>
        <w:jc w:val="both"/>
      </w:pPr>
      <w:r w:rsidRPr="00FD73C5">
        <w:t>The following institutions participate in this Sub-</w:t>
      </w:r>
      <w:proofErr w:type="gramStart"/>
      <w:r w:rsidRPr="00FD73C5">
        <w:t>Chapter:-</w:t>
      </w:r>
      <w:proofErr w:type="gramEnd"/>
    </w:p>
    <w:p w14:paraId="31A53417" w14:textId="77777777" w:rsidR="000F39ED" w:rsidRDefault="000F39ED" w:rsidP="000F39ED">
      <w:pPr>
        <w:spacing w:after="0" w:line="240" w:lineRule="auto"/>
        <w:ind w:left="720"/>
        <w:jc w:val="both"/>
      </w:pPr>
    </w:p>
    <w:p w14:paraId="2E8B396E" w14:textId="1165646D" w:rsidR="005243DA" w:rsidRDefault="005243DA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A&amp;O Shearman</w:t>
      </w:r>
    </w:p>
    <w:p w14:paraId="29CC17D8" w14:textId="6A8940E3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Abu Dhabi Commercial Bank</w:t>
      </w:r>
    </w:p>
    <w:p w14:paraId="2E762262" w14:textId="1EBA422B" w:rsidR="005243DA" w:rsidRDefault="000F39ED" w:rsidP="005243DA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Abu Dhabi Islamic Bank</w:t>
      </w:r>
    </w:p>
    <w:p w14:paraId="62DA59A7" w14:textId="1CC3B759" w:rsidR="005243DA" w:rsidRDefault="005243DA" w:rsidP="005243DA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Bank ABC</w:t>
      </w:r>
    </w:p>
    <w:p w14:paraId="56A4DFAA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Barclays</w:t>
      </w:r>
    </w:p>
    <w:p w14:paraId="0E256AAE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0606BA">
        <w:t>Crédit Agricole CIB </w:t>
      </w:r>
    </w:p>
    <w:p w14:paraId="4C7A5A98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Commercial Bank of Dubai</w:t>
      </w:r>
    </w:p>
    <w:p w14:paraId="0CF25AB4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Doha Bank </w:t>
      </w:r>
    </w:p>
    <w:p w14:paraId="488E6AEE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Emirates NBD Bank</w:t>
      </w:r>
    </w:p>
    <w:p w14:paraId="1AA90780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Eversheds Sutherland</w:t>
      </w:r>
    </w:p>
    <w:p w14:paraId="61918793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First Abu Dhabi Bank </w:t>
      </w:r>
    </w:p>
    <w:p w14:paraId="270AF695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Gulf International Bank - Asset Management</w:t>
      </w:r>
    </w:p>
    <w:p w14:paraId="6AA28659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Hogan Lovells</w:t>
      </w:r>
    </w:p>
    <w:p w14:paraId="7808E476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HSBC</w:t>
      </w:r>
    </w:p>
    <w:p w14:paraId="083184CC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ING</w:t>
      </w:r>
    </w:p>
    <w:p w14:paraId="6F5AB83F" w14:textId="5BF5F90F" w:rsidR="005243DA" w:rsidRDefault="005243DA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KPMG</w:t>
      </w:r>
    </w:p>
    <w:p w14:paraId="6EC03862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Mashreq</w:t>
      </w:r>
    </w:p>
    <w:p w14:paraId="5F40033B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Mizuho</w:t>
      </w:r>
    </w:p>
    <w:p w14:paraId="35C8E38C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National Bank of Fujairah</w:t>
      </w:r>
    </w:p>
    <w:p w14:paraId="76CE4806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 xml:space="preserve">National Bank of Kuwait </w:t>
      </w:r>
    </w:p>
    <w:p w14:paraId="62AE0A09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Natixis</w:t>
      </w:r>
    </w:p>
    <w:p w14:paraId="49C3DED9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Riyad Bank</w:t>
      </w:r>
    </w:p>
    <w:p w14:paraId="7A491407" w14:textId="77777777" w:rsidR="000F39ED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Saudi Awwal Bank</w:t>
      </w:r>
    </w:p>
    <w:p w14:paraId="609251A5" w14:textId="77777777" w:rsidR="000F39ED" w:rsidRPr="00FD73C5" w:rsidRDefault="000F39ED" w:rsidP="000F39ED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Standard Chartered</w:t>
      </w:r>
    </w:p>
    <w:p w14:paraId="6852FF94" w14:textId="77777777" w:rsidR="000F39ED" w:rsidRDefault="000F39ED" w:rsidP="000F39ED">
      <w:pPr>
        <w:spacing w:after="0" w:line="240" w:lineRule="auto"/>
        <w:jc w:val="both"/>
      </w:pPr>
    </w:p>
    <w:p w14:paraId="5323CC65" w14:textId="77777777" w:rsidR="000F39ED" w:rsidRDefault="000F39ED" w:rsidP="000F39ED">
      <w:pPr>
        <w:spacing w:after="0" w:line="240" w:lineRule="auto"/>
        <w:ind w:left="720"/>
        <w:jc w:val="both"/>
      </w:pPr>
      <w:r>
        <w:t xml:space="preserve">All those interested in joining this Sub-Chapter, please reach out to </w:t>
      </w:r>
      <w:hyperlink r:id="rId11" w:history="1">
        <w:r w:rsidRPr="00246997">
          <w:rPr>
            <w:rStyle w:val="Hyperlink"/>
          </w:rPr>
          <w:t>gemma.lawrence-pardew@lma.eu.com</w:t>
        </w:r>
      </w:hyperlink>
      <w:r>
        <w:t>.</w:t>
      </w:r>
    </w:p>
    <w:p w14:paraId="1F6533A8" w14:textId="77777777" w:rsidR="000F39ED" w:rsidRPr="00824846" w:rsidRDefault="000F39ED" w:rsidP="000F39ED">
      <w:pPr>
        <w:spacing w:after="0" w:line="240" w:lineRule="auto"/>
        <w:ind w:left="720"/>
        <w:jc w:val="both"/>
      </w:pPr>
    </w:p>
    <w:p w14:paraId="32FE9FE9" w14:textId="77777777" w:rsidR="003B7C92" w:rsidRPr="00AD2FF9" w:rsidRDefault="003B7C92" w:rsidP="00AD2FF9"/>
    <w:sectPr w:rsidR="003B7C92" w:rsidRPr="00AD2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63B1" w14:textId="77777777" w:rsidR="00722D8F" w:rsidRDefault="00722D8F" w:rsidP="00EB4CB4">
      <w:pPr>
        <w:spacing w:after="0" w:line="240" w:lineRule="auto"/>
      </w:pPr>
      <w:r>
        <w:separator/>
      </w:r>
    </w:p>
  </w:endnote>
  <w:endnote w:type="continuationSeparator" w:id="0">
    <w:p w14:paraId="435848E6" w14:textId="77777777" w:rsidR="00722D8F" w:rsidRDefault="00722D8F" w:rsidP="00EB4CB4">
      <w:pPr>
        <w:spacing w:after="0" w:line="240" w:lineRule="auto"/>
      </w:pPr>
      <w:r>
        <w:continuationSeparator/>
      </w:r>
    </w:p>
  </w:endnote>
  <w:endnote w:type="continuationNotice" w:id="1">
    <w:p w14:paraId="4809FB02" w14:textId="77777777" w:rsidR="00722D8F" w:rsidRDefault="00722D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D6C1" w14:textId="77777777" w:rsidR="00722D8F" w:rsidRDefault="00722D8F" w:rsidP="00EB4CB4">
      <w:pPr>
        <w:spacing w:after="0" w:line="240" w:lineRule="auto"/>
      </w:pPr>
      <w:r>
        <w:separator/>
      </w:r>
    </w:p>
  </w:footnote>
  <w:footnote w:type="continuationSeparator" w:id="0">
    <w:p w14:paraId="1E576C92" w14:textId="77777777" w:rsidR="00722D8F" w:rsidRDefault="00722D8F" w:rsidP="00EB4CB4">
      <w:pPr>
        <w:spacing w:after="0" w:line="240" w:lineRule="auto"/>
      </w:pPr>
      <w:r>
        <w:continuationSeparator/>
      </w:r>
    </w:p>
  </w:footnote>
  <w:footnote w:type="continuationNotice" w:id="1">
    <w:p w14:paraId="0C1BF1B4" w14:textId="77777777" w:rsidR="00722D8F" w:rsidRDefault="00722D8F">
      <w:pPr>
        <w:spacing w:after="0" w:line="240" w:lineRule="auto"/>
      </w:pPr>
    </w:p>
  </w:footnote>
  <w:footnote w:id="2">
    <w:p w14:paraId="087B7C44" w14:textId="77777777" w:rsidR="000F39ED" w:rsidRPr="000138F3" w:rsidRDefault="000F39ED" w:rsidP="000F39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46997">
          <w:rPr>
            <w:rStyle w:val="Hyperlink"/>
          </w:rPr>
          <w:t>https://www.lma.eu.com/download?p=627909130-66410</w:t>
        </w:r>
      </w:hyperlink>
      <w:r>
        <w:t xml:space="preserve"> </w:t>
      </w:r>
    </w:p>
  </w:footnote>
  <w:footnote w:id="3">
    <w:p w14:paraId="045AF414" w14:textId="77777777" w:rsidR="000F39ED" w:rsidRPr="00E1093A" w:rsidRDefault="000F39ED" w:rsidP="000F39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E1093A">
          <w:rPr>
            <w:rStyle w:val="Hyperlink"/>
          </w:rPr>
          <w:t>notice-no-5885-2023-re-the-higher-shari-ah-authority-resolution-re-the-guiding-principles-regarding-islamic-sustainable-finance.pdf</w:t>
        </w:r>
      </w:hyperlink>
    </w:p>
  </w:footnote>
  <w:footnote w:id="4">
    <w:p w14:paraId="30525FA9" w14:textId="77777777" w:rsidR="000F39ED" w:rsidRPr="00537B6F" w:rsidRDefault="000F39ED" w:rsidP="000F39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537B6F">
          <w:rPr>
            <w:rStyle w:val="Hyperlink"/>
          </w:rPr>
          <w:t>ICMA-IsDB-LSEG-Guidance-on-Green-Social-and-Sustainability-Sukuk-April-2024.pdf</w:t>
        </w:r>
      </w:hyperlink>
    </w:p>
  </w:footnote>
  <w:footnote w:id="5">
    <w:p w14:paraId="632C994E" w14:textId="77777777" w:rsidR="000F39ED" w:rsidRDefault="000F39ED" w:rsidP="000F39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8D0171">
          <w:rPr>
            <w:rStyle w:val="Hyperlink"/>
          </w:rPr>
          <w:t>Islamic Sustainable Finance Initiative (ISFI) - Global Ethical Finance Initiative</w:t>
        </w:r>
      </w:hyperlink>
      <w:r>
        <w:t xml:space="preserve"> </w:t>
      </w:r>
    </w:p>
  </w:footnote>
  <w:footnote w:id="6">
    <w:p w14:paraId="4102270B" w14:textId="77777777" w:rsidR="000F39ED" w:rsidRPr="00E81428" w:rsidRDefault="000F39ED" w:rsidP="000F39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9C3E2C">
          <w:rPr>
            <w:rStyle w:val="Hyperlink"/>
          </w:rPr>
          <w:t>https://www.globalethicalfinance.org/our-work/isfi/</w:t>
        </w:r>
      </w:hyperlink>
      <w:r>
        <w:t xml:space="preserve"> / </w:t>
      </w:r>
      <w:hyperlink r:id="rId6" w:history="1">
        <w:r w:rsidRPr="009C3E2C">
          <w:rPr>
            <w:rStyle w:val="Hyperlink"/>
          </w:rPr>
          <w:t>https://ukifc.com/sdg/</w:t>
        </w:r>
      </w:hyperlink>
      <w:r>
        <w:t xml:space="preserve"> / </w:t>
      </w:r>
    </w:p>
  </w:footnote>
  <w:footnote w:id="7">
    <w:p w14:paraId="0AA0A572" w14:textId="77777777" w:rsidR="000F39ED" w:rsidRPr="00170D36" w:rsidRDefault="000F39ED" w:rsidP="000F39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246997">
          <w:rPr>
            <w:rStyle w:val="Hyperlink"/>
          </w:rPr>
          <w:t>https://www.adgm.com/initiatives/sustainable-finance</w:t>
        </w:r>
      </w:hyperlink>
      <w:r>
        <w:t xml:space="preserve"> </w:t>
      </w:r>
    </w:p>
  </w:footnote>
  <w:footnote w:id="8">
    <w:p w14:paraId="4FF7AEBA" w14:textId="77777777" w:rsidR="000F39ED" w:rsidRPr="005C1E40" w:rsidRDefault="000F39ED" w:rsidP="000F39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246997">
          <w:rPr>
            <w:rStyle w:val="Hyperlink"/>
          </w:rPr>
          <w:t>https://www.sama.gov.sa/en-US/About/Pages/strategy.aspx</w:t>
        </w:r>
      </w:hyperlink>
      <w:r>
        <w:t xml:space="preserve"> </w:t>
      </w:r>
    </w:p>
  </w:footnote>
  <w:footnote w:id="9">
    <w:p w14:paraId="6BF6E4C4" w14:textId="77777777" w:rsidR="000F39ED" w:rsidRPr="00EB4CB4" w:rsidRDefault="000F39ED" w:rsidP="000F39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246997">
          <w:rPr>
            <w:rStyle w:val="Hyperlink"/>
          </w:rPr>
          <w:t>https://www.difc.com/ecosystem/sustainability/dubai-sustainable-finance-working-group</w:t>
        </w:r>
      </w:hyperlink>
      <w:r>
        <w:t xml:space="preserve"> </w:t>
      </w:r>
    </w:p>
  </w:footnote>
  <w:footnote w:id="10">
    <w:p w14:paraId="79B3332D" w14:textId="77777777" w:rsidR="000F39ED" w:rsidRPr="00553E01" w:rsidRDefault="000F39ED" w:rsidP="000F39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0" w:history="1">
        <w:r w:rsidRPr="00246997">
          <w:rPr>
            <w:rStyle w:val="Hyperlink"/>
          </w:rPr>
          <w:t>https://uaebf.ae/en/index</w:t>
        </w:r>
      </w:hyperlink>
      <w:r>
        <w:t xml:space="preserve"> </w:t>
      </w:r>
    </w:p>
  </w:footnote>
  <w:footnote w:id="11">
    <w:p w14:paraId="6ABF4ED7" w14:textId="77777777" w:rsidR="000F39ED" w:rsidRPr="004C361E" w:rsidRDefault="000F39ED" w:rsidP="000F39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1" w:history="1">
        <w:r w:rsidRPr="00246997">
          <w:rPr>
            <w:rStyle w:val="Hyperlink"/>
          </w:rPr>
          <w:t>https://kba.com.kw/kba-profile/about-us/kba-committees/</w:t>
        </w:r>
      </w:hyperlink>
      <w:r>
        <w:t xml:space="preserve"> </w:t>
      </w:r>
    </w:p>
  </w:footnote>
  <w:footnote w:id="12">
    <w:p w14:paraId="484073EF" w14:textId="77777777" w:rsidR="000F39ED" w:rsidRPr="00A87538" w:rsidRDefault="000F39ED" w:rsidP="000F39E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2" w:history="1">
        <w:r w:rsidRPr="00246997">
          <w:rPr>
            <w:rStyle w:val="Hyperlink"/>
          </w:rPr>
          <w:t>https://capacity-building.org/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4EB1"/>
    <w:multiLevelType w:val="multilevel"/>
    <w:tmpl w:val="3638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03436"/>
    <w:multiLevelType w:val="multilevel"/>
    <w:tmpl w:val="8DC6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4173E"/>
    <w:multiLevelType w:val="hybridMultilevel"/>
    <w:tmpl w:val="CFB4B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B1D4D"/>
    <w:multiLevelType w:val="hybridMultilevel"/>
    <w:tmpl w:val="A3A0D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B5431"/>
    <w:multiLevelType w:val="multilevel"/>
    <w:tmpl w:val="61DA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1323C"/>
    <w:multiLevelType w:val="multilevel"/>
    <w:tmpl w:val="B206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45DEB"/>
    <w:multiLevelType w:val="multilevel"/>
    <w:tmpl w:val="8AF8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E55BF"/>
    <w:multiLevelType w:val="hybridMultilevel"/>
    <w:tmpl w:val="C89A4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27724"/>
    <w:multiLevelType w:val="hybridMultilevel"/>
    <w:tmpl w:val="F5F2E5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6631F7"/>
    <w:multiLevelType w:val="multilevel"/>
    <w:tmpl w:val="1A00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6637690">
    <w:abstractNumId w:val="2"/>
  </w:num>
  <w:num w:numId="2" w16cid:durableId="1962809062">
    <w:abstractNumId w:val="3"/>
  </w:num>
  <w:num w:numId="3" w16cid:durableId="558132640">
    <w:abstractNumId w:val="4"/>
  </w:num>
  <w:num w:numId="4" w16cid:durableId="1445885337">
    <w:abstractNumId w:val="7"/>
  </w:num>
  <w:num w:numId="5" w16cid:durableId="2065398944">
    <w:abstractNumId w:val="9"/>
  </w:num>
  <w:num w:numId="6" w16cid:durableId="1881280634">
    <w:abstractNumId w:val="6"/>
  </w:num>
  <w:num w:numId="7" w16cid:durableId="1638491552">
    <w:abstractNumId w:val="1"/>
  </w:num>
  <w:num w:numId="8" w16cid:durableId="262808604">
    <w:abstractNumId w:val="0"/>
  </w:num>
  <w:num w:numId="9" w16cid:durableId="1935505505">
    <w:abstractNumId w:val="8"/>
  </w:num>
  <w:num w:numId="10" w16cid:durableId="948850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1D"/>
    <w:rsid w:val="00013075"/>
    <w:rsid w:val="000138F3"/>
    <w:rsid w:val="0004189F"/>
    <w:rsid w:val="000606BA"/>
    <w:rsid w:val="00063EA0"/>
    <w:rsid w:val="000A4F2B"/>
    <w:rsid w:val="000D75EA"/>
    <w:rsid w:val="000E5404"/>
    <w:rsid w:val="000E7EA6"/>
    <w:rsid w:val="000F2DCB"/>
    <w:rsid w:val="000F39ED"/>
    <w:rsid w:val="0010017E"/>
    <w:rsid w:val="00136FA9"/>
    <w:rsid w:val="001579DE"/>
    <w:rsid w:val="00157DA9"/>
    <w:rsid w:val="00170D36"/>
    <w:rsid w:val="001746DC"/>
    <w:rsid w:val="0018162E"/>
    <w:rsid w:val="001A6331"/>
    <w:rsid w:val="001C0565"/>
    <w:rsid w:val="001D474F"/>
    <w:rsid w:val="002023D7"/>
    <w:rsid w:val="002377C6"/>
    <w:rsid w:val="002B51A9"/>
    <w:rsid w:val="002C227F"/>
    <w:rsid w:val="003132AD"/>
    <w:rsid w:val="00316CB4"/>
    <w:rsid w:val="00323A65"/>
    <w:rsid w:val="0032766D"/>
    <w:rsid w:val="0034488F"/>
    <w:rsid w:val="00357F81"/>
    <w:rsid w:val="00393219"/>
    <w:rsid w:val="003B7C92"/>
    <w:rsid w:val="003C55E0"/>
    <w:rsid w:val="00415E8A"/>
    <w:rsid w:val="00451DC0"/>
    <w:rsid w:val="00454D90"/>
    <w:rsid w:val="004B0481"/>
    <w:rsid w:val="004C1728"/>
    <w:rsid w:val="004C361E"/>
    <w:rsid w:val="004F0672"/>
    <w:rsid w:val="00502878"/>
    <w:rsid w:val="00504565"/>
    <w:rsid w:val="00506B67"/>
    <w:rsid w:val="005243DA"/>
    <w:rsid w:val="005252DE"/>
    <w:rsid w:val="00537B6F"/>
    <w:rsid w:val="00553E01"/>
    <w:rsid w:val="00574F97"/>
    <w:rsid w:val="00596610"/>
    <w:rsid w:val="005C1E40"/>
    <w:rsid w:val="005C5B2E"/>
    <w:rsid w:val="00612CE3"/>
    <w:rsid w:val="0069181D"/>
    <w:rsid w:val="006C6212"/>
    <w:rsid w:val="006F2613"/>
    <w:rsid w:val="00722D8F"/>
    <w:rsid w:val="007247E8"/>
    <w:rsid w:val="007517E4"/>
    <w:rsid w:val="00762AFF"/>
    <w:rsid w:val="007768A2"/>
    <w:rsid w:val="00783FCF"/>
    <w:rsid w:val="007A6BB5"/>
    <w:rsid w:val="007D61E7"/>
    <w:rsid w:val="00824846"/>
    <w:rsid w:val="0083435D"/>
    <w:rsid w:val="0085222F"/>
    <w:rsid w:val="0086254E"/>
    <w:rsid w:val="008A385A"/>
    <w:rsid w:val="008A7953"/>
    <w:rsid w:val="008B2BC8"/>
    <w:rsid w:val="008D57BF"/>
    <w:rsid w:val="00972767"/>
    <w:rsid w:val="009C07F4"/>
    <w:rsid w:val="009C707D"/>
    <w:rsid w:val="009C75C3"/>
    <w:rsid w:val="009E7597"/>
    <w:rsid w:val="00A268D2"/>
    <w:rsid w:val="00A27EBF"/>
    <w:rsid w:val="00A5148C"/>
    <w:rsid w:val="00A66143"/>
    <w:rsid w:val="00A72FE2"/>
    <w:rsid w:val="00A87538"/>
    <w:rsid w:val="00AA0E61"/>
    <w:rsid w:val="00AA5DB8"/>
    <w:rsid w:val="00AC3ED9"/>
    <w:rsid w:val="00AD2FF9"/>
    <w:rsid w:val="00AE61BA"/>
    <w:rsid w:val="00B01792"/>
    <w:rsid w:val="00B51ABF"/>
    <w:rsid w:val="00B9306B"/>
    <w:rsid w:val="00BF41BE"/>
    <w:rsid w:val="00C45083"/>
    <w:rsid w:val="00C71396"/>
    <w:rsid w:val="00C73317"/>
    <w:rsid w:val="00CA7CCE"/>
    <w:rsid w:val="00CB66C4"/>
    <w:rsid w:val="00D96CF5"/>
    <w:rsid w:val="00E1093A"/>
    <w:rsid w:val="00E27E59"/>
    <w:rsid w:val="00E4341E"/>
    <w:rsid w:val="00E63178"/>
    <w:rsid w:val="00E81428"/>
    <w:rsid w:val="00EB4CB4"/>
    <w:rsid w:val="00EE4B60"/>
    <w:rsid w:val="00F35986"/>
    <w:rsid w:val="00F46D96"/>
    <w:rsid w:val="00F61A2D"/>
    <w:rsid w:val="00F7671B"/>
    <w:rsid w:val="00F947EF"/>
    <w:rsid w:val="00FA367D"/>
    <w:rsid w:val="00FD5E7A"/>
    <w:rsid w:val="00FD73C5"/>
    <w:rsid w:val="088D8196"/>
    <w:rsid w:val="1081F349"/>
    <w:rsid w:val="1483CE0D"/>
    <w:rsid w:val="1957BBDA"/>
    <w:rsid w:val="40FBB4A5"/>
    <w:rsid w:val="41EB78BD"/>
    <w:rsid w:val="45DD4EBD"/>
    <w:rsid w:val="4F7E7E9D"/>
    <w:rsid w:val="596F563C"/>
    <w:rsid w:val="5C4D9F26"/>
    <w:rsid w:val="75F82422"/>
    <w:rsid w:val="79A4A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7020E"/>
  <w15:chartTrackingRefBased/>
  <w15:docId w15:val="{EAB5AB0C-9CE0-4C5A-B739-4C50154A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81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46D9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4C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C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D2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2FF9"/>
  </w:style>
  <w:style w:type="paragraph" w:styleId="Footer">
    <w:name w:val="footer"/>
    <w:basedOn w:val="Normal"/>
    <w:link w:val="FooterChar"/>
    <w:uiPriority w:val="99"/>
    <w:semiHidden/>
    <w:unhideWhenUsed/>
    <w:rsid w:val="00AD2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ma.lawrence-pardew@lma.eu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a.gov.sa/en-US/About/Pages/strategy.aspx" TargetMode="External"/><Relationship Id="rId3" Type="http://schemas.openxmlformats.org/officeDocument/2006/relationships/hyperlink" Target="https://www.icmagroup.org/assets/documents/Sustainable-finance/ICMA-IsDB-LSEG-Guidance-on-Green-Social-and-Sustainability-Sukuk-April-2024.pdf" TargetMode="External"/><Relationship Id="rId7" Type="http://schemas.openxmlformats.org/officeDocument/2006/relationships/hyperlink" Target="https://www.adgm.com/initiatives/sustainable-finance" TargetMode="External"/><Relationship Id="rId12" Type="http://schemas.openxmlformats.org/officeDocument/2006/relationships/hyperlink" Target="https://capacity-building.org/" TargetMode="External"/><Relationship Id="rId2" Type="http://schemas.openxmlformats.org/officeDocument/2006/relationships/hyperlink" Target="https://www.centralbank.ae/media/2addmj30/notice-no-5885-2023-re-the-higher-shari-ah-authority-resolution-re-the-guiding-principles-regarding-islamic-sustainable-finance.pdf" TargetMode="External"/><Relationship Id="rId1" Type="http://schemas.openxmlformats.org/officeDocument/2006/relationships/hyperlink" Target="https://www.lma.eu.com/download?p=627909130-66410" TargetMode="External"/><Relationship Id="rId6" Type="http://schemas.openxmlformats.org/officeDocument/2006/relationships/hyperlink" Target="https://ukifc.com/sdg/" TargetMode="External"/><Relationship Id="rId11" Type="http://schemas.openxmlformats.org/officeDocument/2006/relationships/hyperlink" Target="https://kba.com.kw/kba-profile/about-us/kba-committees/" TargetMode="External"/><Relationship Id="rId5" Type="http://schemas.openxmlformats.org/officeDocument/2006/relationships/hyperlink" Target="https://www.globalethicalfinance.org/our-work/isfi/" TargetMode="External"/><Relationship Id="rId10" Type="http://schemas.openxmlformats.org/officeDocument/2006/relationships/hyperlink" Target="https://uaebf.ae/en/index" TargetMode="External"/><Relationship Id="rId4" Type="http://schemas.openxmlformats.org/officeDocument/2006/relationships/hyperlink" Target="https://www.globalethicalfinance.org/our-work/isfi/" TargetMode="External"/><Relationship Id="rId9" Type="http://schemas.openxmlformats.org/officeDocument/2006/relationships/hyperlink" Target="https://www.difc.com/ecosystem/sustainability/dubai-sustainable-finance-working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egal Document" ma:contentTypeID="0x01010082D0B51EEABE574695EDDA2BB52A09600100FC37C1A2FAEFC04E96274E12E86F3DC7" ma:contentTypeVersion="45" ma:contentTypeDescription="Stores client and matter information common to all Legal Documents" ma:contentTypeScope="" ma:versionID="fe77f3ae1e4c7f8a0619aebc89c9210f">
  <xsd:schema xmlns:xsd="http://www.w3.org/2001/XMLSchema" xmlns:xs="http://www.w3.org/2001/XMLSchema" xmlns:p="http://schemas.microsoft.com/office/2006/metadata/properties" xmlns:ns2="c5328c40-880a-4585-bbf1-a57e1cb97092" xmlns:ns3="b4cc91d8-8109-41b2-8baa-2405b18da33c" targetNamespace="http://schemas.microsoft.com/office/2006/metadata/properties" ma:root="true" ma:fieldsID="54b0b83a030512344a5a4b4725c69f90" ns2:_="" ns3:_="">
    <xsd:import namespace="c5328c40-880a-4585-bbf1-a57e1cb97092"/>
    <xsd:import namespace="b4cc91d8-8109-41b2-8baa-2405b18da33c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LegacyDocumentID" minOccurs="0"/>
                <xsd:element ref="ns2:LegacyInformation" minOccurs="0"/>
                <xsd:element ref="ns2:KeyDocument" minOccurs="0"/>
                <xsd:element ref="ns2:MatterNumber" minOccurs="0"/>
                <xsd:element ref="ns2:MatterName" minOccurs="0"/>
                <xsd:element ref="ns2:MatterStatus" minOccurs="0"/>
                <xsd:element ref="ns2:ClientNumber" minOccurs="0"/>
                <xsd:element ref="ns2:ClientName" minOccurs="0"/>
                <xsd:element ref="ns2:ClientReference" minOccurs="0"/>
                <xsd:element ref="ns2:CCOffice" minOccurs="0"/>
                <xsd:element ref="ns2:PracticeArea" minOccurs="0"/>
                <xsd:element ref="ns2:PracticeGroup" minOccurs="0"/>
                <xsd:element ref="ns2:DocumentIcons" minOccurs="0"/>
                <xsd:element ref="ns2:WorkType" minOccurs="0"/>
                <xsd:element ref="ns2:ConfigListSynch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TaxCatchAllLabel" minOccurs="0"/>
                <xsd:element ref="ns2:SectorTaxHTField0" minOccurs="0"/>
                <xsd:element ref="ns2:LegalDocumentTypeTaxHTField0" minOccurs="0"/>
                <xsd:element ref="ns2:LegalTopicTaxHTField0" minOccurs="0"/>
                <xsd:element ref="ns2:JurisdictionTaxHTField0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28c40-880a-4585-bbf1-a57e1cb97092" elementFormDefault="qualified">
    <xsd:import namespace="http://schemas.microsoft.com/office/2006/documentManagement/types"/>
    <xsd:import namespace="http://schemas.microsoft.com/office/infopath/2007/PartnerControls"/>
    <xsd:element name="DocumentOwner" ma:index="4" nillable="true" ma:displayName="Document Owner" ma:indexed="true" ma:list="UserInfo" ma:SearchPeopleOnly="false" ma:SharePointGroup="0" ma:internalName="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DocumentID" ma:index="5" nillable="true" ma:displayName="Legacy Document ID" ma:internalName="LegacyDocumentID" ma:readOnly="false">
      <xsd:simpleType>
        <xsd:restriction base="dms:Text">
          <xsd:maxLength value="255"/>
        </xsd:restriction>
      </xsd:simpleType>
    </xsd:element>
    <xsd:element name="LegacyInformation" ma:index="6" nillable="true" ma:displayName="Legacy Information" ma:internalName="LegacyInformation" ma:readOnly="false">
      <xsd:simpleType>
        <xsd:restriction base="dms:Note"/>
      </xsd:simpleType>
    </xsd:element>
    <xsd:element name="KeyDocument" ma:index="7" nillable="true" ma:displayName="Key Document" ma:default="0" ma:indexed="true" ma:internalName="KeyDocument" ma:readOnly="false">
      <xsd:simpleType>
        <xsd:restriction base="dms:Boolean"/>
      </xsd:simpleType>
    </xsd:element>
    <xsd:element name="MatterNumber" ma:index="8" nillable="true" ma:displayName="Matter Number" ma:default="UK-3999-LMA" ma:internalName="MatterNumber" ma:readOnly="false">
      <xsd:simpleType>
        <xsd:restriction base="dms:Text">
          <xsd:maxLength value="15"/>
        </xsd:restriction>
      </xsd:simpleType>
    </xsd:element>
    <xsd:element name="MatterName" ma:index="9" nillable="true" ma:displayName="Matter Name" ma:default="UK-3999-LMA" ma:internalName="MatterName" ma:readOnly="false">
      <xsd:simpleType>
        <xsd:restriction base="dms:Text">
          <xsd:maxLength value="255"/>
        </xsd:restriction>
      </xsd:simpleType>
    </xsd:element>
    <xsd:element name="MatterStatus" ma:index="10" nillable="true" ma:displayName="Matter Status" ma:default="Current" ma:format="Dropdown" ma:internalName="MatterStatus" ma:readOnly="false">
      <xsd:simpleType>
        <xsd:restriction base="dms:Choice">
          <xsd:enumeration value="Current"/>
          <xsd:enumeration value="Dormant"/>
        </xsd:restriction>
      </xsd:simpleType>
    </xsd:element>
    <xsd:element name="ClientNumber" ma:index="11" nillable="true" ma:displayName="Client Number" ma:internalName="ClientNumber" ma:readOnly="false">
      <xsd:simpleType>
        <xsd:restriction base="dms:Text">
          <xsd:maxLength value="50"/>
        </xsd:restriction>
      </xsd:simpleType>
    </xsd:element>
    <xsd:element name="ClientName" ma:index="12" nillable="true" ma:displayName="Client Name" ma:internalName="ClientName" ma:readOnly="false">
      <xsd:simpleType>
        <xsd:restriction base="dms:Text">
          <xsd:maxLength value="255"/>
        </xsd:restriction>
      </xsd:simpleType>
    </xsd:element>
    <xsd:element name="ClientReference" ma:index="13" nillable="true" ma:displayName="Client Reference" ma:internalName="ClientReference" ma:readOnly="false">
      <xsd:simpleType>
        <xsd:restriction base="dms:Text">
          <xsd:maxLength value="255"/>
        </xsd:restriction>
      </xsd:simpleType>
    </xsd:element>
    <xsd:element name="CCOffice" ma:index="14" nillable="true" ma:displayName="CC Office" ma:default="UK" ma:internalName="CCOffice" ma:readOnly="false">
      <xsd:simpleType>
        <xsd:restriction base="dms:Text">
          <xsd:maxLength value="255"/>
        </xsd:restriction>
      </xsd:simpleType>
    </xsd:element>
    <xsd:element name="PracticeArea" ma:index="15" nillable="true" ma:displayName="Practice Area" ma:default="Capital Markets" ma:internalName="PracticeArea" ma:readOnly="false">
      <xsd:simpleType>
        <xsd:restriction base="dms:Text">
          <xsd:maxLength value="255"/>
        </xsd:restriction>
      </xsd:simpleType>
    </xsd:element>
    <xsd:element name="PracticeGroup" ma:index="16" nillable="true" ma:displayName="Practice Group" ma:default="B&amp;F Central Support" ma:internalName="PracticeGroup" ma:readOnly="false">
      <xsd:simpleType>
        <xsd:restriction base="dms:Text">
          <xsd:maxLength value="255"/>
        </xsd:restriction>
      </xsd:simpleType>
    </xsd:element>
    <xsd:element name="DocumentIcons" ma:index="17" nillable="true" ma:displayName="Relationship Icons" ma:internalName="DocumentIcons" ma:readOnly="true">
      <xsd:simpleType>
        <xsd:restriction base="dms:Note"/>
      </xsd:simpleType>
    </xsd:element>
    <xsd:element name="WorkType" ma:index="18" nillable="true" ma:displayName="Work Type" ma:internalName="WorkType" ma:readOnly="false">
      <xsd:simpleType>
        <xsd:restriction base="dms:Text">
          <xsd:maxLength value="255"/>
        </xsd:restriction>
      </xsd:simpleType>
    </xsd:element>
    <xsd:element name="ConfigListSynch" ma:index="21" nillable="true" ma:displayName="Config List Synch" ma:format="DateTime" ma:hidden="true" ma:internalName="ConfigListSynch" ma:readOnly="false">
      <xsd:simpleType>
        <xsd:restriction base="dms:DateTime"/>
      </xsd:simpleType>
    </xsd:element>
    <xsd:element name="TaxCatchAll" ma:index="24" nillable="true" ma:displayName="Taxonomy Catch All Column" ma:hidden="true" ma:list="{8df1a563-0ce5-47a8-8451-311dde5dd33e}" ma:internalName="TaxCatchAll" ma:readOnly="false" ma:showField="CatchAllData" ma:web="c5328c40-880a-4585-bbf1-a57e1cb97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Label" ma:index="33" nillable="true" ma:displayName="Taxonomy Catch All Column1" ma:hidden="true" ma:list="{8df1a563-0ce5-47a8-8451-311dde5dd33e}" ma:internalName="TaxCatchAllLabel" ma:readOnly="true" ma:showField="CatchAllDataLabel" ma:web="c5328c40-880a-4585-bbf1-a57e1cb97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torTaxHTField0" ma:index="34" nillable="true" ma:displayName="Sector_0" ma:hidden="true" ma:internalName="SectorTaxHTField0" ma:readOnly="false">
      <xsd:simpleType>
        <xsd:restriction base="dms:Note"/>
      </xsd:simpleType>
    </xsd:element>
    <xsd:element name="LegalDocumentTypeTaxHTField0" ma:index="35" nillable="true" ma:displayName="LegalDocumentType_0" ma:hidden="true" ma:internalName="LegalDocumentTypeTaxHTField0" ma:readOnly="false">
      <xsd:simpleType>
        <xsd:restriction base="dms:Note"/>
      </xsd:simpleType>
    </xsd:element>
    <xsd:element name="LegalTopicTaxHTField0" ma:index="36" nillable="true" ma:displayName="LegalTopic_0" ma:hidden="true" ma:internalName="LegalTopicTaxHTField0" ma:readOnly="false">
      <xsd:simpleType>
        <xsd:restriction base="dms:Note"/>
      </xsd:simpleType>
    </xsd:element>
    <xsd:element name="JurisdictionTaxHTField0" ma:index="37" nillable="true" ma:displayName="Jurisdiction_0" ma:hidden="true" ma:internalName="JurisdictionTaxHTField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c91d8-8109-41b2-8baa-2405b18da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terNumber xmlns="c5328c40-880a-4585-bbf1-a57e1cb97092">UK-3999-LMA</MatterNumber>
    <MatterName xmlns="c5328c40-880a-4585-bbf1-a57e1cb97092">UK-3999-LMA</MatterName>
    <CCOffice xmlns="c5328c40-880a-4585-bbf1-a57e1cb97092">UK</CCOffice>
    <PracticeGroup xmlns="c5328c40-880a-4585-bbf1-a57e1cb97092">B&amp;F Central Support</PracticeGroup>
    <MatterStatus xmlns="c5328c40-880a-4585-bbf1-a57e1cb97092">Current</MatterStatus>
    <KeyDocument xmlns="c5328c40-880a-4585-bbf1-a57e1cb97092">false</KeyDocument>
    <PracticeArea xmlns="c5328c40-880a-4585-bbf1-a57e1cb97092">Capital Markets</PracticeArea>
    <LegacyDocumentID xmlns="c5328c40-880a-4585-bbf1-a57e1cb97092" xsi:nil="true"/>
    <WorkType xmlns="c5328c40-880a-4585-bbf1-a57e1cb97092" xsi:nil="true"/>
    <ClientNumber xmlns="c5328c40-880a-4585-bbf1-a57e1cb97092" xsi:nil="true"/>
    <DocumentOwner xmlns="c5328c40-880a-4585-bbf1-a57e1cb97092">
      <UserInfo>
        <DisplayName/>
        <AccountId xsi:nil="true"/>
        <AccountType/>
      </UserInfo>
    </DocumentOwner>
    <ClientName xmlns="c5328c40-880a-4585-bbf1-a57e1cb97092" xsi:nil="true"/>
    <ClientReference xmlns="c5328c40-880a-4585-bbf1-a57e1cb97092" xsi:nil="true"/>
    <LegacyInformation xmlns="c5328c40-880a-4585-bbf1-a57e1cb97092" xsi:nil="true"/>
    <LegalTopicTaxHTField0 xmlns="c5328c40-880a-4585-bbf1-a57e1cb97092" xsi:nil="true"/>
    <LegalDocumentTypeTaxHTField0 xmlns="c5328c40-880a-4585-bbf1-a57e1cb97092" xsi:nil="true"/>
    <TaxCatchAll xmlns="c5328c40-880a-4585-bbf1-a57e1cb97092" xsi:nil="true"/>
    <JurisdictionTaxHTField0 xmlns="c5328c40-880a-4585-bbf1-a57e1cb97092" xsi:nil="true"/>
    <ConfigListSynch xmlns="c5328c40-880a-4585-bbf1-a57e1cb97092" xsi:nil="true"/>
    <SectorTaxHTField0 xmlns="c5328c40-880a-4585-bbf1-a57e1cb970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9EDFB-CE60-41A9-A971-6D3B3D307A54}"/>
</file>

<file path=customXml/itemProps2.xml><?xml version="1.0" encoding="utf-8"?>
<ds:datastoreItem xmlns:ds="http://schemas.openxmlformats.org/officeDocument/2006/customXml" ds:itemID="{A38FBB2E-E96B-4B6F-AA2A-B4F87EFB65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283D0-1C22-44D7-B506-B101C87434FD}">
  <ds:schemaRefs>
    <ds:schemaRef ds:uri="http://schemas.microsoft.com/office/2006/metadata/properties"/>
    <ds:schemaRef ds:uri="http://schemas.microsoft.com/office/infopath/2007/PartnerControls"/>
    <ds:schemaRef ds:uri="c5328c40-880a-4585-bbf1-a57e1cb97092"/>
  </ds:schemaRefs>
</ds:datastoreItem>
</file>

<file path=customXml/itemProps4.xml><?xml version="1.0" encoding="utf-8"?>
<ds:datastoreItem xmlns:ds="http://schemas.openxmlformats.org/officeDocument/2006/customXml" ds:itemID="{736C0782-99E4-48F8-89BE-E53B24805F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5200</Characters>
  <Application>Microsoft Office Word</Application>
  <DocSecurity>0</DocSecurity>
  <Lines>43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Hogg</dc:creator>
  <cp:keywords/>
  <dc:description/>
  <cp:lastModifiedBy>Oskar Vuckovic-Kihlstrom</cp:lastModifiedBy>
  <cp:revision>2</cp:revision>
  <dcterms:created xsi:type="dcterms:W3CDTF">2025-10-28T14:45:00Z</dcterms:created>
  <dcterms:modified xsi:type="dcterms:W3CDTF">2025-10-28T14:45:00Z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0x01010082D0B51EEABE574695EDDA2BB52A09600100FC37C1A2FAEFC04E96274E12E86F3DC7</vt:lpwstr>
  </property>
  <property fmtid="{D5CDD505-2E9C-101B-9397-08002B2CF9AE}" pid="3" name="GrammarlyDocumentId">
    <vt:lpwstr>eb10e3ec-a90d-4a17-a9a7-2c7adc4bc108</vt:lpwstr>
  </property>
</Properties>
</file>