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F796D" w14:textId="752A524A" w:rsidR="00F7671B" w:rsidRDefault="00EC02DA" w:rsidP="00EC02DA">
      <w:pPr>
        <w:jc w:val="center"/>
        <w:rPr>
          <w:b/>
          <w:bCs/>
        </w:rPr>
      </w:pPr>
      <w:r>
        <w:rPr>
          <w:b/>
          <w:bCs/>
        </w:rPr>
        <w:t>LMA Green Pure Play Companies Taskforce</w:t>
      </w:r>
    </w:p>
    <w:p w14:paraId="6EB754EA" w14:textId="5C7E16E7" w:rsidR="00EC02DA" w:rsidRDefault="00EC02DA" w:rsidP="00EC02DA">
      <w:pPr>
        <w:jc w:val="center"/>
        <w:rPr>
          <w:b/>
          <w:bCs/>
        </w:rPr>
      </w:pPr>
      <w:r>
        <w:rPr>
          <w:b/>
          <w:bCs/>
        </w:rPr>
        <w:t>Terms of Reference</w:t>
      </w:r>
    </w:p>
    <w:p w14:paraId="2A23990D" w14:textId="117E737E" w:rsidR="00EC02DA" w:rsidRDefault="00EC02DA" w:rsidP="00EC02DA">
      <w:pPr>
        <w:jc w:val="both"/>
        <w:rPr>
          <w:b/>
          <w:bCs/>
        </w:rPr>
      </w:pPr>
      <w:r>
        <w:rPr>
          <w:b/>
          <w:bCs/>
        </w:rPr>
        <w:t>Overall Objective</w:t>
      </w:r>
    </w:p>
    <w:p w14:paraId="737F4C89" w14:textId="7009EAC6" w:rsidR="003332C3" w:rsidRPr="003332C3" w:rsidRDefault="003332C3" w:rsidP="003332C3">
      <w:pPr>
        <w:jc w:val="both"/>
      </w:pPr>
      <w:r w:rsidRPr="003332C3">
        <w:t>The LMA Green Pure Play Companies Taskforce aims to provide greater clarity on how the Green Loan Principles (</w:t>
      </w:r>
      <w:r w:rsidRPr="003332C3">
        <w:rPr>
          <w:b/>
          <w:bCs/>
        </w:rPr>
        <w:t>GLP</w:t>
      </w:r>
      <w:r w:rsidRPr="003332C3">
        <w:t>) should be applied to Pure Play Companies</w:t>
      </w:r>
      <w:r w:rsidR="009B679D">
        <w:t xml:space="preserve">; </w:t>
      </w:r>
      <w:r w:rsidRPr="003332C3">
        <w:t>that is, companies whose business activities are (near) wholly dedicated to the green economy.</w:t>
      </w:r>
    </w:p>
    <w:p w14:paraId="75A823F8" w14:textId="77777777" w:rsidR="003332C3" w:rsidRPr="003332C3" w:rsidRDefault="003332C3" w:rsidP="003332C3">
      <w:pPr>
        <w:jc w:val="both"/>
      </w:pPr>
      <w:r w:rsidRPr="003332C3">
        <w:t>The group will focus on developing a set of practical guidelines to support the consistent and credible application of the GLP to these entities. This work will help ensure the continued integrity of green loans as a use-of-proceeds instrument, while reflecting the specific characteristics and needs of Pure Play Companies.</w:t>
      </w:r>
    </w:p>
    <w:p w14:paraId="2159545F" w14:textId="0BB56C29" w:rsidR="00157273" w:rsidRDefault="00157273" w:rsidP="00EC02DA">
      <w:pPr>
        <w:jc w:val="both"/>
        <w:rPr>
          <w:b/>
          <w:bCs/>
        </w:rPr>
      </w:pPr>
      <w:r>
        <w:rPr>
          <w:b/>
          <w:bCs/>
        </w:rPr>
        <w:t>Key Objective</w:t>
      </w:r>
    </w:p>
    <w:p w14:paraId="6EA239D6" w14:textId="33D96FC7" w:rsidR="007A7FF7" w:rsidRDefault="004C74DE" w:rsidP="004C74DE">
      <w:pPr>
        <w:jc w:val="both"/>
      </w:pPr>
      <w:r w:rsidRPr="004C74DE">
        <w:t xml:space="preserve">The </w:t>
      </w:r>
      <w:r>
        <w:t>key objective of this Taskforce will be</w:t>
      </w:r>
      <w:r w:rsidR="007A7FF7">
        <w:t xml:space="preserve"> to develop </w:t>
      </w:r>
      <w:r w:rsidR="007A7FF7" w:rsidRPr="007A7FF7">
        <w:t>clear and practical guidance on how the GLP can be applied specifically to Pure Play Companies, ensuring consistency in their implementation within the green loan market.</w:t>
      </w:r>
    </w:p>
    <w:p w14:paraId="475AD2F6" w14:textId="6406732F" w:rsidR="00157273" w:rsidRDefault="00157273" w:rsidP="00EC02DA">
      <w:pPr>
        <w:jc w:val="both"/>
        <w:rPr>
          <w:b/>
          <w:bCs/>
        </w:rPr>
      </w:pPr>
      <w:r>
        <w:rPr>
          <w:b/>
          <w:bCs/>
        </w:rPr>
        <w:t>Membership</w:t>
      </w:r>
    </w:p>
    <w:p w14:paraId="3EFAD641" w14:textId="7B102C3D" w:rsidR="00157273" w:rsidRDefault="00157273" w:rsidP="00EC02DA">
      <w:pPr>
        <w:jc w:val="both"/>
      </w:pPr>
      <w:r>
        <w:t>The Taskforce’s membership is divided into Active Participants (‘APs’) and Reviewers. The APs will be the driving force behind the project, holding the pen on the drafting of the guidelines, whilst Reviewers will periodically be called upon to provide comments on circulated drafts.</w:t>
      </w:r>
    </w:p>
    <w:p w14:paraId="759528A6" w14:textId="77777777" w:rsidR="00F1591B" w:rsidRPr="00F1591B" w:rsidRDefault="00F1591B" w:rsidP="00F1591B">
      <w:pPr>
        <w:jc w:val="both"/>
        <w:rPr>
          <w:b/>
          <w:bCs/>
        </w:rPr>
      </w:pPr>
      <w:r w:rsidRPr="00F1591B">
        <w:rPr>
          <w:b/>
          <w:bCs/>
        </w:rPr>
        <w:t>Task Force Members</w:t>
      </w:r>
    </w:p>
    <w:p w14:paraId="3FC92828" w14:textId="77777777" w:rsidR="00AF1BE2" w:rsidRDefault="00AF1BE2" w:rsidP="00BD62D5">
      <w:pPr>
        <w:pStyle w:val="ListParagraph"/>
        <w:jc w:val="both"/>
        <w:sectPr w:rsidR="00AF1BE2">
          <w:pgSz w:w="11906" w:h="16838"/>
          <w:pgMar w:top="1440" w:right="1440" w:bottom="1440" w:left="1440" w:header="708" w:footer="708" w:gutter="0"/>
          <w:cols w:space="708"/>
          <w:docGrid w:linePitch="360"/>
        </w:sectPr>
      </w:pPr>
    </w:p>
    <w:p w14:paraId="40891FCE" w14:textId="7F66A386" w:rsidR="6824D1CF" w:rsidRDefault="6824D1CF" w:rsidP="001D7075">
      <w:pPr>
        <w:pStyle w:val="ListParagraph"/>
        <w:numPr>
          <w:ilvl w:val="0"/>
          <w:numId w:val="2"/>
        </w:numPr>
        <w:jc w:val="both"/>
      </w:pPr>
      <w:r>
        <w:t>ABN AMRO</w:t>
      </w:r>
    </w:p>
    <w:p w14:paraId="6D766FAD" w14:textId="1739C7AA" w:rsidR="6824D1CF" w:rsidRDefault="6824D1CF" w:rsidP="55DBC1D8">
      <w:pPr>
        <w:pStyle w:val="ListParagraph"/>
        <w:numPr>
          <w:ilvl w:val="0"/>
          <w:numId w:val="2"/>
        </w:numPr>
        <w:jc w:val="both"/>
      </w:pPr>
      <w:r>
        <w:t>Apollo</w:t>
      </w:r>
    </w:p>
    <w:p w14:paraId="0DB614DA" w14:textId="2557AA84" w:rsidR="6824D1CF" w:rsidRDefault="6824D1CF" w:rsidP="55DBC1D8">
      <w:pPr>
        <w:pStyle w:val="ListParagraph"/>
        <w:numPr>
          <w:ilvl w:val="0"/>
          <w:numId w:val="2"/>
        </w:numPr>
        <w:jc w:val="both"/>
      </w:pPr>
      <w:r>
        <w:t>Bank of America</w:t>
      </w:r>
    </w:p>
    <w:p w14:paraId="5D6CEA76" w14:textId="5622BEFC" w:rsidR="7AD5D877" w:rsidRDefault="7AD5D877" w:rsidP="55DBC1D8">
      <w:pPr>
        <w:pStyle w:val="ListParagraph"/>
        <w:numPr>
          <w:ilvl w:val="0"/>
          <w:numId w:val="2"/>
        </w:numPr>
        <w:jc w:val="both"/>
      </w:pPr>
      <w:r>
        <w:t>Barclays</w:t>
      </w:r>
    </w:p>
    <w:p w14:paraId="46121775" w14:textId="3F6FE9F2" w:rsidR="7AD5D877" w:rsidRDefault="7AD5D877" w:rsidP="55DBC1D8">
      <w:pPr>
        <w:pStyle w:val="ListParagraph"/>
        <w:numPr>
          <w:ilvl w:val="0"/>
          <w:numId w:val="2"/>
        </w:numPr>
        <w:jc w:val="both"/>
      </w:pPr>
      <w:r>
        <w:t>BNP Paribas</w:t>
      </w:r>
    </w:p>
    <w:p w14:paraId="65F31907" w14:textId="21ADD65F" w:rsidR="00FB06C6" w:rsidRDefault="00FB06C6" w:rsidP="55DBC1D8">
      <w:pPr>
        <w:pStyle w:val="ListParagraph"/>
        <w:numPr>
          <w:ilvl w:val="0"/>
          <w:numId w:val="2"/>
        </w:numPr>
        <w:jc w:val="both"/>
      </w:pPr>
      <w:r>
        <w:t>BNZ</w:t>
      </w:r>
    </w:p>
    <w:p w14:paraId="68DD65C8" w14:textId="12860425" w:rsidR="7AD5D877" w:rsidRDefault="7AD5D877" w:rsidP="55DBC1D8">
      <w:pPr>
        <w:pStyle w:val="ListParagraph"/>
        <w:numPr>
          <w:ilvl w:val="0"/>
          <w:numId w:val="2"/>
        </w:numPr>
        <w:jc w:val="both"/>
      </w:pPr>
      <w:r>
        <w:t>CA-CIB</w:t>
      </w:r>
    </w:p>
    <w:p w14:paraId="19F986F5" w14:textId="1046BB39" w:rsidR="7AD5D877" w:rsidRDefault="7AD5D877" w:rsidP="55DBC1D8">
      <w:pPr>
        <w:pStyle w:val="ListParagraph"/>
        <w:numPr>
          <w:ilvl w:val="0"/>
          <w:numId w:val="2"/>
        </w:numPr>
        <w:jc w:val="both"/>
      </w:pPr>
      <w:r>
        <w:t>China CITIC Bank International Limited</w:t>
      </w:r>
    </w:p>
    <w:p w14:paraId="1CD207FB" w14:textId="7DD5C50D" w:rsidR="00533EDB" w:rsidRDefault="00533EDB" w:rsidP="55DBC1D8">
      <w:pPr>
        <w:pStyle w:val="ListParagraph"/>
        <w:numPr>
          <w:ilvl w:val="0"/>
          <w:numId w:val="2"/>
        </w:numPr>
        <w:jc w:val="both"/>
      </w:pPr>
      <w:r>
        <w:t>Citi</w:t>
      </w:r>
    </w:p>
    <w:p w14:paraId="6711F2D5" w14:textId="35BA14EF" w:rsidR="7AD5D877" w:rsidRDefault="7AD5D877" w:rsidP="55DBC1D8">
      <w:pPr>
        <w:pStyle w:val="ListParagraph"/>
        <w:numPr>
          <w:ilvl w:val="0"/>
          <w:numId w:val="2"/>
        </w:numPr>
        <w:jc w:val="both"/>
      </w:pPr>
      <w:r>
        <w:t xml:space="preserve">Commonwealth </w:t>
      </w:r>
      <w:r w:rsidR="00360743">
        <w:t>B</w:t>
      </w:r>
      <w:r>
        <w:t>ank of Australia</w:t>
      </w:r>
    </w:p>
    <w:p w14:paraId="166F3032" w14:textId="77777777" w:rsidR="00AF1BE2" w:rsidRDefault="00AF1BE2" w:rsidP="55DBC1D8">
      <w:pPr>
        <w:pStyle w:val="ListParagraph"/>
        <w:numPr>
          <w:ilvl w:val="0"/>
          <w:numId w:val="2"/>
        </w:numPr>
        <w:jc w:val="both"/>
      </w:pPr>
      <w:proofErr w:type="spellStart"/>
      <w:r>
        <w:t>DnB</w:t>
      </w:r>
      <w:proofErr w:type="spellEnd"/>
    </w:p>
    <w:p w14:paraId="65992404" w14:textId="4D35724F" w:rsidR="7AD5D877" w:rsidRDefault="7AD5D877" w:rsidP="55DBC1D8">
      <w:pPr>
        <w:pStyle w:val="ListParagraph"/>
        <w:numPr>
          <w:ilvl w:val="0"/>
          <w:numId w:val="2"/>
        </w:numPr>
        <w:jc w:val="both"/>
      </w:pPr>
      <w:r>
        <w:t>ENS Africa</w:t>
      </w:r>
    </w:p>
    <w:p w14:paraId="6F05EC56" w14:textId="6E01C910" w:rsidR="7AD5D877" w:rsidRDefault="7AD5D877" w:rsidP="55DBC1D8">
      <w:pPr>
        <w:pStyle w:val="ListParagraph"/>
        <w:numPr>
          <w:ilvl w:val="0"/>
          <w:numId w:val="2"/>
        </w:numPr>
        <w:jc w:val="both"/>
      </w:pPr>
      <w:r>
        <w:t>HSBC</w:t>
      </w:r>
    </w:p>
    <w:p w14:paraId="4A249A07" w14:textId="43366B66" w:rsidR="7AD5D877" w:rsidRDefault="7AD5D877" w:rsidP="55DBC1D8">
      <w:pPr>
        <w:pStyle w:val="ListParagraph"/>
        <w:numPr>
          <w:ilvl w:val="0"/>
          <w:numId w:val="2"/>
        </w:numPr>
        <w:jc w:val="both"/>
      </w:pPr>
      <w:r>
        <w:t>ING</w:t>
      </w:r>
    </w:p>
    <w:p w14:paraId="559180EC" w14:textId="62A1312E" w:rsidR="00904531" w:rsidRDefault="00904531" w:rsidP="55DBC1D8">
      <w:pPr>
        <w:pStyle w:val="ListParagraph"/>
        <w:numPr>
          <w:ilvl w:val="0"/>
          <w:numId w:val="2"/>
        </w:numPr>
        <w:jc w:val="both"/>
      </w:pPr>
      <w:r>
        <w:t>Intesa Sanpaolo</w:t>
      </w:r>
    </w:p>
    <w:p w14:paraId="2892D767" w14:textId="485F4185" w:rsidR="7AD5D877" w:rsidRDefault="7AD5D877" w:rsidP="55DBC1D8">
      <w:pPr>
        <w:pStyle w:val="ListParagraph"/>
        <w:numPr>
          <w:ilvl w:val="0"/>
          <w:numId w:val="2"/>
        </w:numPr>
        <w:jc w:val="both"/>
      </w:pPr>
      <w:r>
        <w:t>Linklaters</w:t>
      </w:r>
    </w:p>
    <w:p w14:paraId="48949EC9" w14:textId="6AC77B45" w:rsidR="7AD5D877" w:rsidRDefault="7AD5D877" w:rsidP="55DBC1D8">
      <w:pPr>
        <w:pStyle w:val="ListParagraph"/>
        <w:numPr>
          <w:ilvl w:val="0"/>
          <w:numId w:val="2"/>
        </w:numPr>
        <w:jc w:val="both"/>
      </w:pPr>
      <w:r>
        <w:t>Lloyds Banking</w:t>
      </w:r>
    </w:p>
    <w:p w14:paraId="01FAE936" w14:textId="03980FF8" w:rsidR="7AD5D877" w:rsidRDefault="7AD5D877" w:rsidP="55DBC1D8">
      <w:pPr>
        <w:pStyle w:val="ListParagraph"/>
        <w:numPr>
          <w:ilvl w:val="0"/>
          <w:numId w:val="2"/>
        </w:numPr>
        <w:jc w:val="both"/>
      </w:pPr>
      <w:r>
        <w:t>Metrics Credit Partners</w:t>
      </w:r>
    </w:p>
    <w:p w14:paraId="23508CCC" w14:textId="18583B87" w:rsidR="7AD5D877" w:rsidRDefault="7AD5D877" w:rsidP="55DBC1D8">
      <w:pPr>
        <w:pStyle w:val="ListParagraph"/>
        <w:numPr>
          <w:ilvl w:val="0"/>
          <w:numId w:val="2"/>
        </w:numPr>
        <w:jc w:val="both"/>
      </w:pPr>
      <w:r>
        <w:t>Mizuho</w:t>
      </w:r>
    </w:p>
    <w:p w14:paraId="5AB74EB2" w14:textId="55678847" w:rsidR="7AD5D877" w:rsidRDefault="7AD5D877" w:rsidP="55DBC1D8">
      <w:pPr>
        <w:pStyle w:val="ListParagraph"/>
        <w:numPr>
          <w:ilvl w:val="0"/>
          <w:numId w:val="2"/>
        </w:numPr>
        <w:jc w:val="both"/>
      </w:pPr>
      <w:r>
        <w:t>National Australia Bank</w:t>
      </w:r>
    </w:p>
    <w:p w14:paraId="61948281" w14:textId="20B9D339" w:rsidR="00904531" w:rsidRDefault="00904531" w:rsidP="55DBC1D8">
      <w:pPr>
        <w:pStyle w:val="ListParagraph"/>
        <w:numPr>
          <w:ilvl w:val="0"/>
          <w:numId w:val="2"/>
        </w:numPr>
        <w:jc w:val="both"/>
      </w:pPr>
      <w:r>
        <w:t>National Bank of Kuwait</w:t>
      </w:r>
    </w:p>
    <w:p w14:paraId="6A003E7C" w14:textId="7284D0D9" w:rsidR="00904531" w:rsidRDefault="00904531" w:rsidP="55DBC1D8">
      <w:pPr>
        <w:pStyle w:val="ListParagraph"/>
        <w:numPr>
          <w:ilvl w:val="0"/>
          <w:numId w:val="2"/>
        </w:numPr>
        <w:jc w:val="both"/>
      </w:pPr>
      <w:r>
        <w:t>NatWest Group</w:t>
      </w:r>
    </w:p>
    <w:p w14:paraId="7513F557" w14:textId="2509F552" w:rsidR="7AD5D877" w:rsidRDefault="7AD5D877" w:rsidP="55DBC1D8">
      <w:pPr>
        <w:pStyle w:val="ListParagraph"/>
        <w:numPr>
          <w:ilvl w:val="0"/>
          <w:numId w:val="2"/>
        </w:numPr>
        <w:jc w:val="both"/>
      </w:pPr>
      <w:r>
        <w:t>Rabobank</w:t>
      </w:r>
    </w:p>
    <w:p w14:paraId="0632A275" w14:textId="2417F7A2" w:rsidR="7AD5D877" w:rsidRDefault="7AD5D877" w:rsidP="55DBC1D8">
      <w:pPr>
        <w:pStyle w:val="ListParagraph"/>
        <w:numPr>
          <w:ilvl w:val="0"/>
          <w:numId w:val="2"/>
        </w:numPr>
        <w:jc w:val="both"/>
      </w:pPr>
      <w:r>
        <w:t>RB International</w:t>
      </w:r>
    </w:p>
    <w:p w14:paraId="647D4865" w14:textId="21366DD4" w:rsidR="00904531" w:rsidRDefault="00904531" w:rsidP="55DBC1D8">
      <w:pPr>
        <w:pStyle w:val="ListParagraph"/>
        <w:numPr>
          <w:ilvl w:val="0"/>
          <w:numId w:val="2"/>
        </w:numPr>
        <w:jc w:val="both"/>
      </w:pPr>
      <w:r>
        <w:t>Rand Merchant Bank</w:t>
      </w:r>
    </w:p>
    <w:p w14:paraId="2D81CFF3" w14:textId="7B6C72D1" w:rsidR="00904531" w:rsidRDefault="00904531" w:rsidP="55DBC1D8">
      <w:pPr>
        <w:pStyle w:val="ListParagraph"/>
        <w:numPr>
          <w:ilvl w:val="0"/>
          <w:numId w:val="2"/>
        </w:numPr>
        <w:jc w:val="both"/>
      </w:pPr>
      <w:r>
        <w:t>Santander</w:t>
      </w:r>
    </w:p>
    <w:p w14:paraId="148A271D" w14:textId="3391CCF2" w:rsidR="7AD5D877" w:rsidRDefault="7AD5D877" w:rsidP="55DBC1D8">
      <w:pPr>
        <w:pStyle w:val="ListParagraph"/>
        <w:numPr>
          <w:ilvl w:val="0"/>
          <w:numId w:val="2"/>
        </w:numPr>
        <w:jc w:val="both"/>
      </w:pPr>
      <w:r>
        <w:t>SMBC</w:t>
      </w:r>
    </w:p>
    <w:p w14:paraId="4E2ED330" w14:textId="07301EDB" w:rsidR="7AD5D877" w:rsidRDefault="7AD5D877" w:rsidP="55DBC1D8">
      <w:pPr>
        <w:pStyle w:val="ListParagraph"/>
        <w:numPr>
          <w:ilvl w:val="0"/>
          <w:numId w:val="2"/>
        </w:numPr>
        <w:jc w:val="both"/>
      </w:pPr>
      <w:r>
        <w:t>SMBC Americas</w:t>
      </w:r>
    </w:p>
    <w:p w14:paraId="34394386" w14:textId="1B3BC2D5" w:rsidR="7AD5D877" w:rsidRDefault="7AD5D877" w:rsidP="55DBC1D8">
      <w:pPr>
        <w:pStyle w:val="ListParagraph"/>
        <w:numPr>
          <w:ilvl w:val="0"/>
          <w:numId w:val="2"/>
        </w:numPr>
        <w:jc w:val="both"/>
      </w:pPr>
      <w:r>
        <w:t>Societe Generale</w:t>
      </w:r>
    </w:p>
    <w:p w14:paraId="6706546A" w14:textId="266D076A" w:rsidR="7AD5D877" w:rsidRDefault="7AD5D877" w:rsidP="55DBC1D8">
      <w:pPr>
        <w:pStyle w:val="ListParagraph"/>
        <w:numPr>
          <w:ilvl w:val="0"/>
          <w:numId w:val="2"/>
        </w:numPr>
        <w:jc w:val="both"/>
      </w:pPr>
      <w:r>
        <w:lastRenderedPageBreak/>
        <w:t>Standard Chartered</w:t>
      </w:r>
    </w:p>
    <w:p w14:paraId="054EDBC4" w14:textId="0ADFFA19" w:rsidR="7AD5D877" w:rsidRDefault="7AD5D877" w:rsidP="55DBC1D8">
      <w:pPr>
        <w:pStyle w:val="ListParagraph"/>
        <w:numPr>
          <w:ilvl w:val="0"/>
          <w:numId w:val="2"/>
        </w:numPr>
        <w:jc w:val="both"/>
      </w:pPr>
      <w:r>
        <w:t>Sustaina</w:t>
      </w:r>
      <w:r w:rsidR="00BC144B">
        <w:t>lytics</w:t>
      </w:r>
    </w:p>
    <w:p w14:paraId="3561137C" w14:textId="5F32CD51" w:rsidR="7AD5D877" w:rsidRDefault="7AD5D877" w:rsidP="55DBC1D8">
      <w:pPr>
        <w:pStyle w:val="ListParagraph"/>
        <w:numPr>
          <w:ilvl w:val="0"/>
          <w:numId w:val="2"/>
        </w:numPr>
        <w:jc w:val="both"/>
      </w:pPr>
      <w:r>
        <w:t>Wells Fargo</w:t>
      </w:r>
    </w:p>
    <w:p w14:paraId="0C4D96B6" w14:textId="2CBAAB8A" w:rsidR="7AD5D877" w:rsidRDefault="7AD5D877" w:rsidP="55DBC1D8">
      <w:pPr>
        <w:pStyle w:val="ListParagraph"/>
        <w:numPr>
          <w:ilvl w:val="0"/>
          <w:numId w:val="2"/>
        </w:numPr>
        <w:jc w:val="both"/>
      </w:pPr>
      <w:r>
        <w:t>Westpac Banking Corporation</w:t>
      </w:r>
    </w:p>
    <w:sectPr w:rsidR="7AD5D877" w:rsidSect="00AF1BE2">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899F3" w14:textId="77777777" w:rsidR="00332AF1" w:rsidRDefault="00332AF1" w:rsidP="00EC02DA">
      <w:pPr>
        <w:spacing w:after="0" w:line="240" w:lineRule="auto"/>
      </w:pPr>
      <w:r>
        <w:separator/>
      </w:r>
    </w:p>
  </w:endnote>
  <w:endnote w:type="continuationSeparator" w:id="0">
    <w:p w14:paraId="4B1A25A0" w14:textId="77777777" w:rsidR="00332AF1" w:rsidRDefault="00332AF1" w:rsidP="00EC0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CB496" w14:textId="77777777" w:rsidR="00332AF1" w:rsidRDefault="00332AF1" w:rsidP="00EC02DA">
      <w:pPr>
        <w:spacing w:after="0" w:line="240" w:lineRule="auto"/>
      </w:pPr>
      <w:r>
        <w:separator/>
      </w:r>
    </w:p>
  </w:footnote>
  <w:footnote w:type="continuationSeparator" w:id="0">
    <w:p w14:paraId="30AB9C61" w14:textId="77777777" w:rsidR="00332AF1" w:rsidRDefault="00332AF1" w:rsidP="00EC02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0137F"/>
    <w:multiLevelType w:val="hybridMultilevel"/>
    <w:tmpl w:val="50183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2823C8"/>
    <w:multiLevelType w:val="hybridMultilevel"/>
    <w:tmpl w:val="DC287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4518779">
    <w:abstractNumId w:val="0"/>
  </w:num>
  <w:num w:numId="2" w16cid:durableId="382293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2DA"/>
    <w:rsid w:val="000A4F2B"/>
    <w:rsid w:val="00157273"/>
    <w:rsid w:val="001958D2"/>
    <w:rsid w:val="001D7075"/>
    <w:rsid w:val="002C0736"/>
    <w:rsid w:val="002D7B35"/>
    <w:rsid w:val="00310FDF"/>
    <w:rsid w:val="00332AF1"/>
    <w:rsid w:val="003332C3"/>
    <w:rsid w:val="00360743"/>
    <w:rsid w:val="0044499D"/>
    <w:rsid w:val="004C3EA1"/>
    <w:rsid w:val="004C74DE"/>
    <w:rsid w:val="00504519"/>
    <w:rsid w:val="00533EDB"/>
    <w:rsid w:val="00637E8D"/>
    <w:rsid w:val="0078717F"/>
    <w:rsid w:val="007A7FF7"/>
    <w:rsid w:val="00904531"/>
    <w:rsid w:val="009354B9"/>
    <w:rsid w:val="009B679D"/>
    <w:rsid w:val="009C75C3"/>
    <w:rsid w:val="00A66143"/>
    <w:rsid w:val="00AC046D"/>
    <w:rsid w:val="00AF1BE2"/>
    <w:rsid w:val="00BC144B"/>
    <w:rsid w:val="00BD62D5"/>
    <w:rsid w:val="00C07E5D"/>
    <w:rsid w:val="00CB66C4"/>
    <w:rsid w:val="00D86825"/>
    <w:rsid w:val="00EC02DA"/>
    <w:rsid w:val="00F1591B"/>
    <w:rsid w:val="00F371AB"/>
    <w:rsid w:val="00F54A7D"/>
    <w:rsid w:val="00F7671B"/>
    <w:rsid w:val="00F82433"/>
    <w:rsid w:val="00FB06C6"/>
    <w:rsid w:val="14BBD3BC"/>
    <w:rsid w:val="15158343"/>
    <w:rsid w:val="458A900B"/>
    <w:rsid w:val="5123448C"/>
    <w:rsid w:val="55DBC1D8"/>
    <w:rsid w:val="64653D29"/>
    <w:rsid w:val="6824D1CF"/>
    <w:rsid w:val="77355C24"/>
    <w:rsid w:val="7AD5D8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BE5C5"/>
  <w15:chartTrackingRefBased/>
  <w15:docId w15:val="{E777012F-2995-482E-9FC9-539600B6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2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02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02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02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02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02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2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2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2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2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02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02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02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02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02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2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2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2DA"/>
    <w:rPr>
      <w:rFonts w:eastAsiaTheme="majorEastAsia" w:cstheme="majorBidi"/>
      <w:color w:val="272727" w:themeColor="text1" w:themeTint="D8"/>
    </w:rPr>
  </w:style>
  <w:style w:type="paragraph" w:styleId="Title">
    <w:name w:val="Title"/>
    <w:basedOn w:val="Normal"/>
    <w:next w:val="Normal"/>
    <w:link w:val="TitleChar"/>
    <w:uiPriority w:val="10"/>
    <w:qFormat/>
    <w:rsid w:val="00EC02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2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2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2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2DA"/>
    <w:pPr>
      <w:spacing w:before="160"/>
      <w:jc w:val="center"/>
    </w:pPr>
    <w:rPr>
      <w:i/>
      <w:iCs/>
      <w:color w:val="404040" w:themeColor="text1" w:themeTint="BF"/>
    </w:rPr>
  </w:style>
  <w:style w:type="character" w:customStyle="1" w:styleId="QuoteChar">
    <w:name w:val="Quote Char"/>
    <w:basedOn w:val="DefaultParagraphFont"/>
    <w:link w:val="Quote"/>
    <w:uiPriority w:val="29"/>
    <w:rsid w:val="00EC02DA"/>
    <w:rPr>
      <w:i/>
      <w:iCs/>
      <w:color w:val="404040" w:themeColor="text1" w:themeTint="BF"/>
    </w:rPr>
  </w:style>
  <w:style w:type="paragraph" w:styleId="ListParagraph">
    <w:name w:val="List Paragraph"/>
    <w:basedOn w:val="Normal"/>
    <w:uiPriority w:val="34"/>
    <w:qFormat/>
    <w:rsid w:val="00EC02DA"/>
    <w:pPr>
      <w:ind w:left="720"/>
      <w:contextualSpacing/>
    </w:pPr>
  </w:style>
  <w:style w:type="character" w:styleId="IntenseEmphasis">
    <w:name w:val="Intense Emphasis"/>
    <w:basedOn w:val="DefaultParagraphFont"/>
    <w:uiPriority w:val="21"/>
    <w:qFormat/>
    <w:rsid w:val="00EC02DA"/>
    <w:rPr>
      <w:i/>
      <w:iCs/>
      <w:color w:val="0F4761" w:themeColor="accent1" w:themeShade="BF"/>
    </w:rPr>
  </w:style>
  <w:style w:type="paragraph" w:styleId="IntenseQuote">
    <w:name w:val="Intense Quote"/>
    <w:basedOn w:val="Normal"/>
    <w:next w:val="Normal"/>
    <w:link w:val="IntenseQuoteChar"/>
    <w:uiPriority w:val="30"/>
    <w:qFormat/>
    <w:rsid w:val="00EC02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02DA"/>
    <w:rPr>
      <w:i/>
      <w:iCs/>
      <w:color w:val="0F4761" w:themeColor="accent1" w:themeShade="BF"/>
    </w:rPr>
  </w:style>
  <w:style w:type="character" w:styleId="IntenseReference">
    <w:name w:val="Intense Reference"/>
    <w:basedOn w:val="DefaultParagraphFont"/>
    <w:uiPriority w:val="32"/>
    <w:qFormat/>
    <w:rsid w:val="00EC02DA"/>
    <w:rPr>
      <w:b/>
      <w:bCs/>
      <w:smallCaps/>
      <w:color w:val="0F4761" w:themeColor="accent1" w:themeShade="BF"/>
      <w:spacing w:val="5"/>
    </w:rPr>
  </w:style>
  <w:style w:type="paragraph" w:styleId="FootnoteText">
    <w:name w:val="footnote text"/>
    <w:basedOn w:val="Normal"/>
    <w:link w:val="FootnoteTextChar"/>
    <w:uiPriority w:val="99"/>
    <w:semiHidden/>
    <w:unhideWhenUsed/>
    <w:rsid w:val="00EC02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02DA"/>
    <w:rPr>
      <w:sz w:val="20"/>
      <w:szCs w:val="20"/>
    </w:rPr>
  </w:style>
  <w:style w:type="character" w:styleId="FootnoteReference">
    <w:name w:val="footnote reference"/>
    <w:basedOn w:val="DefaultParagraphFont"/>
    <w:uiPriority w:val="99"/>
    <w:semiHidden/>
    <w:unhideWhenUsed/>
    <w:rsid w:val="00EC02DA"/>
    <w:rPr>
      <w:vertAlign w:val="superscript"/>
    </w:rPr>
  </w:style>
  <w:style w:type="character" w:styleId="Hyperlink">
    <w:name w:val="Hyperlink"/>
    <w:basedOn w:val="DefaultParagraphFont"/>
    <w:uiPriority w:val="99"/>
    <w:unhideWhenUsed/>
    <w:rsid w:val="00EC02DA"/>
    <w:rPr>
      <w:color w:val="467886" w:themeColor="hyperlink"/>
      <w:u w:val="single"/>
    </w:rPr>
  </w:style>
  <w:style w:type="character" w:styleId="UnresolvedMention">
    <w:name w:val="Unresolved Mention"/>
    <w:basedOn w:val="DefaultParagraphFont"/>
    <w:uiPriority w:val="99"/>
    <w:semiHidden/>
    <w:unhideWhenUsed/>
    <w:rsid w:val="00EC0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6601">
      <w:bodyDiv w:val="1"/>
      <w:marLeft w:val="0"/>
      <w:marRight w:val="0"/>
      <w:marTop w:val="0"/>
      <w:marBottom w:val="0"/>
      <w:divBdr>
        <w:top w:val="none" w:sz="0" w:space="0" w:color="auto"/>
        <w:left w:val="none" w:sz="0" w:space="0" w:color="auto"/>
        <w:bottom w:val="none" w:sz="0" w:space="0" w:color="auto"/>
        <w:right w:val="none" w:sz="0" w:space="0" w:color="auto"/>
      </w:divBdr>
    </w:div>
    <w:div w:id="1164904407">
      <w:bodyDiv w:val="1"/>
      <w:marLeft w:val="0"/>
      <w:marRight w:val="0"/>
      <w:marTop w:val="0"/>
      <w:marBottom w:val="0"/>
      <w:divBdr>
        <w:top w:val="none" w:sz="0" w:space="0" w:color="auto"/>
        <w:left w:val="none" w:sz="0" w:space="0" w:color="auto"/>
        <w:bottom w:val="none" w:sz="0" w:space="0" w:color="auto"/>
        <w:right w:val="none" w:sz="0" w:space="0" w:color="auto"/>
      </w:divBdr>
    </w:div>
    <w:div w:id="1317034977">
      <w:bodyDiv w:val="1"/>
      <w:marLeft w:val="0"/>
      <w:marRight w:val="0"/>
      <w:marTop w:val="0"/>
      <w:marBottom w:val="0"/>
      <w:divBdr>
        <w:top w:val="none" w:sz="0" w:space="0" w:color="auto"/>
        <w:left w:val="none" w:sz="0" w:space="0" w:color="auto"/>
        <w:bottom w:val="none" w:sz="0" w:space="0" w:color="auto"/>
        <w:right w:val="none" w:sz="0" w:space="0" w:color="auto"/>
      </w:divBdr>
    </w:div>
    <w:div w:id="158036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egal Document" ma:contentTypeID="0x01010082D0B51EEABE574695EDDA2BB52A09600100FC37C1A2FAEFC04E96274E12E86F3DC7" ma:contentTypeVersion="45" ma:contentTypeDescription="Stores client and matter information common to all Legal Documents" ma:contentTypeScope="" ma:versionID="fe77f3ae1e4c7f8a0619aebc89c9210f">
  <xsd:schema xmlns:xsd="http://www.w3.org/2001/XMLSchema" xmlns:xs="http://www.w3.org/2001/XMLSchema" xmlns:p="http://schemas.microsoft.com/office/2006/metadata/properties" xmlns:ns2="c5328c40-880a-4585-bbf1-a57e1cb97092" xmlns:ns3="b4cc91d8-8109-41b2-8baa-2405b18da33c" targetNamespace="http://schemas.microsoft.com/office/2006/metadata/properties" ma:root="true" ma:fieldsID="54b0b83a030512344a5a4b4725c69f90" ns2:_="" ns3:_="">
    <xsd:import namespace="c5328c40-880a-4585-bbf1-a57e1cb97092"/>
    <xsd:import namespace="b4cc91d8-8109-41b2-8baa-2405b18da33c"/>
    <xsd:element name="properties">
      <xsd:complexType>
        <xsd:sequence>
          <xsd:element name="documentManagement">
            <xsd:complexType>
              <xsd:all>
                <xsd:element ref="ns2:DocumentOwner" minOccurs="0"/>
                <xsd:element ref="ns2:LegacyDocumentID" minOccurs="0"/>
                <xsd:element ref="ns2:LegacyInformation" minOccurs="0"/>
                <xsd:element ref="ns2:KeyDocument" minOccurs="0"/>
                <xsd:element ref="ns2:MatterNumber" minOccurs="0"/>
                <xsd:element ref="ns2:MatterName" minOccurs="0"/>
                <xsd:element ref="ns2:MatterStatus" minOccurs="0"/>
                <xsd:element ref="ns2:ClientNumber" minOccurs="0"/>
                <xsd:element ref="ns2:ClientName" minOccurs="0"/>
                <xsd:element ref="ns2:ClientReference" minOccurs="0"/>
                <xsd:element ref="ns2:CCOffice" minOccurs="0"/>
                <xsd:element ref="ns2:PracticeArea" minOccurs="0"/>
                <xsd:element ref="ns2:PracticeGroup" minOccurs="0"/>
                <xsd:element ref="ns2:DocumentIcons" minOccurs="0"/>
                <xsd:element ref="ns2:WorkType" minOccurs="0"/>
                <xsd:element ref="ns2:ConfigListSynch" minOccurs="0"/>
                <xsd:element ref="ns2:TaxCatchAll"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2:TaxCatchAllLabel" minOccurs="0"/>
                <xsd:element ref="ns2:SectorTaxHTField0" minOccurs="0"/>
                <xsd:element ref="ns2:LegalDocumentTypeTaxHTField0" minOccurs="0"/>
                <xsd:element ref="ns2:LegalTopicTaxHTField0" minOccurs="0"/>
                <xsd:element ref="ns2:JurisdictionTaxHTField0"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28c40-880a-4585-bbf1-a57e1cb97092" elementFormDefault="qualified">
    <xsd:import namespace="http://schemas.microsoft.com/office/2006/documentManagement/types"/>
    <xsd:import namespace="http://schemas.microsoft.com/office/infopath/2007/PartnerControls"/>
    <xsd:element name="DocumentOwner" ma:index="4" nillable="true" ma:displayName="Document Owner" ma:indexed="true" ma:list="UserInfo" ma:SearchPeopleOnly="false" ma:SharePointGroup="0" ma:internalName="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DocumentID" ma:index="5" nillable="true" ma:displayName="Legacy Document ID" ma:internalName="LegacyDocumentID" ma:readOnly="false">
      <xsd:simpleType>
        <xsd:restriction base="dms:Text">
          <xsd:maxLength value="255"/>
        </xsd:restriction>
      </xsd:simpleType>
    </xsd:element>
    <xsd:element name="LegacyInformation" ma:index="6" nillable="true" ma:displayName="Legacy Information" ma:internalName="LegacyInformation" ma:readOnly="false">
      <xsd:simpleType>
        <xsd:restriction base="dms:Note"/>
      </xsd:simpleType>
    </xsd:element>
    <xsd:element name="KeyDocument" ma:index="7" nillable="true" ma:displayName="Key Document" ma:default="0" ma:indexed="true" ma:internalName="KeyDocument" ma:readOnly="false">
      <xsd:simpleType>
        <xsd:restriction base="dms:Boolean"/>
      </xsd:simpleType>
    </xsd:element>
    <xsd:element name="MatterNumber" ma:index="8" nillable="true" ma:displayName="Matter Number" ma:default="UK-3999-LMA" ma:internalName="MatterNumber" ma:readOnly="false">
      <xsd:simpleType>
        <xsd:restriction base="dms:Text">
          <xsd:maxLength value="15"/>
        </xsd:restriction>
      </xsd:simpleType>
    </xsd:element>
    <xsd:element name="MatterName" ma:index="9" nillable="true" ma:displayName="Matter Name" ma:default="UK-3999-LMA" ma:internalName="MatterName" ma:readOnly="false">
      <xsd:simpleType>
        <xsd:restriction base="dms:Text">
          <xsd:maxLength value="255"/>
        </xsd:restriction>
      </xsd:simpleType>
    </xsd:element>
    <xsd:element name="MatterStatus" ma:index="10" nillable="true" ma:displayName="Matter Status" ma:default="Current" ma:format="Dropdown" ma:internalName="MatterStatus" ma:readOnly="false">
      <xsd:simpleType>
        <xsd:restriction base="dms:Choice">
          <xsd:enumeration value="Current"/>
          <xsd:enumeration value="Dormant"/>
        </xsd:restriction>
      </xsd:simpleType>
    </xsd:element>
    <xsd:element name="ClientNumber" ma:index="11" nillable="true" ma:displayName="Client Number" ma:internalName="ClientNumber" ma:readOnly="false">
      <xsd:simpleType>
        <xsd:restriction base="dms:Text">
          <xsd:maxLength value="50"/>
        </xsd:restriction>
      </xsd:simpleType>
    </xsd:element>
    <xsd:element name="ClientName" ma:index="12" nillable="true" ma:displayName="Client Name" ma:internalName="ClientName" ma:readOnly="false">
      <xsd:simpleType>
        <xsd:restriction base="dms:Text">
          <xsd:maxLength value="255"/>
        </xsd:restriction>
      </xsd:simpleType>
    </xsd:element>
    <xsd:element name="ClientReference" ma:index="13" nillable="true" ma:displayName="Client Reference" ma:internalName="ClientReference" ma:readOnly="false">
      <xsd:simpleType>
        <xsd:restriction base="dms:Text">
          <xsd:maxLength value="255"/>
        </xsd:restriction>
      </xsd:simpleType>
    </xsd:element>
    <xsd:element name="CCOffice" ma:index="14" nillable="true" ma:displayName="CC Office" ma:default="UK" ma:internalName="CCOffice" ma:readOnly="false">
      <xsd:simpleType>
        <xsd:restriction base="dms:Text">
          <xsd:maxLength value="255"/>
        </xsd:restriction>
      </xsd:simpleType>
    </xsd:element>
    <xsd:element name="PracticeArea" ma:index="15" nillable="true" ma:displayName="Practice Area" ma:default="Capital Markets" ma:internalName="PracticeArea" ma:readOnly="false">
      <xsd:simpleType>
        <xsd:restriction base="dms:Text">
          <xsd:maxLength value="255"/>
        </xsd:restriction>
      </xsd:simpleType>
    </xsd:element>
    <xsd:element name="PracticeGroup" ma:index="16" nillable="true" ma:displayName="Practice Group" ma:default="B&amp;F Central Support" ma:internalName="PracticeGroup" ma:readOnly="false">
      <xsd:simpleType>
        <xsd:restriction base="dms:Text">
          <xsd:maxLength value="255"/>
        </xsd:restriction>
      </xsd:simpleType>
    </xsd:element>
    <xsd:element name="DocumentIcons" ma:index="17" nillable="true" ma:displayName="Relationship Icons" ma:internalName="DocumentIcons" ma:readOnly="true">
      <xsd:simpleType>
        <xsd:restriction base="dms:Note"/>
      </xsd:simpleType>
    </xsd:element>
    <xsd:element name="WorkType" ma:index="18" nillable="true" ma:displayName="Work Type" ma:internalName="WorkType" ma:readOnly="false">
      <xsd:simpleType>
        <xsd:restriction base="dms:Text">
          <xsd:maxLength value="255"/>
        </xsd:restriction>
      </xsd:simpleType>
    </xsd:element>
    <xsd:element name="ConfigListSynch" ma:index="21" nillable="true" ma:displayName="Config List Synch" ma:format="DateTime" ma:hidden="true" ma:internalName="ConfigListSynch" ma:readOnly="false">
      <xsd:simpleType>
        <xsd:restriction base="dms:DateTime"/>
      </xsd:simpleType>
    </xsd:element>
    <xsd:element name="TaxCatchAll" ma:index="24" nillable="true" ma:displayName="Taxonomy Catch All Column" ma:hidden="true" ma:list="{8df1a563-0ce5-47a8-8451-311dde5dd33e}" ma:internalName="TaxCatchAll" ma:readOnly="false" ma:showField="CatchAllData" ma:web="c5328c40-880a-4585-bbf1-a57e1cb97092">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Label" ma:index="33" nillable="true" ma:displayName="Taxonomy Catch All Column1" ma:hidden="true" ma:list="{8df1a563-0ce5-47a8-8451-311dde5dd33e}" ma:internalName="TaxCatchAllLabel" ma:readOnly="true" ma:showField="CatchAllDataLabel" ma:web="c5328c40-880a-4585-bbf1-a57e1cb97092">
      <xsd:complexType>
        <xsd:complexContent>
          <xsd:extension base="dms:MultiChoiceLookup">
            <xsd:sequence>
              <xsd:element name="Value" type="dms:Lookup" maxOccurs="unbounded" minOccurs="0" nillable="true"/>
            </xsd:sequence>
          </xsd:extension>
        </xsd:complexContent>
      </xsd:complexType>
    </xsd:element>
    <xsd:element name="SectorTaxHTField0" ma:index="34" nillable="true" ma:displayName="Sector_0" ma:hidden="true" ma:internalName="SectorTaxHTField0" ma:readOnly="false">
      <xsd:simpleType>
        <xsd:restriction base="dms:Note"/>
      </xsd:simpleType>
    </xsd:element>
    <xsd:element name="LegalDocumentTypeTaxHTField0" ma:index="35" nillable="true" ma:displayName="LegalDocumentType_0" ma:hidden="true" ma:internalName="LegalDocumentTypeTaxHTField0" ma:readOnly="false">
      <xsd:simpleType>
        <xsd:restriction base="dms:Note"/>
      </xsd:simpleType>
    </xsd:element>
    <xsd:element name="LegalTopicTaxHTField0" ma:index="36" nillable="true" ma:displayName="LegalTopic_0" ma:hidden="true" ma:internalName="LegalTopicTaxHTField0" ma:readOnly="false">
      <xsd:simpleType>
        <xsd:restriction base="dms:Note"/>
      </xsd:simpleType>
    </xsd:element>
    <xsd:element name="JurisdictionTaxHTField0" ma:index="37" nillable="true" ma:displayName="Jurisdiction_0" ma:hidden="true" ma:internalName="JurisdictionTaxHTField0"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c91d8-8109-41b2-8baa-2405b18da33c"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description="" ma:hidden="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description="" ma:hidden="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egacyDocumentID xmlns="c5328c40-880a-4585-bbf1-a57e1cb97092" xsi:nil="true"/>
    <WorkType xmlns="c5328c40-880a-4585-bbf1-a57e1cb97092" xsi:nil="true"/>
    <ClientNumber xmlns="c5328c40-880a-4585-bbf1-a57e1cb97092" xsi:nil="true"/>
    <DocumentOwner xmlns="c5328c40-880a-4585-bbf1-a57e1cb97092">
      <UserInfo>
        <DisplayName/>
        <AccountId xsi:nil="true"/>
        <AccountType/>
      </UserInfo>
    </DocumentOwner>
    <ClientName xmlns="c5328c40-880a-4585-bbf1-a57e1cb97092" xsi:nil="true"/>
    <ClientReference xmlns="c5328c40-880a-4585-bbf1-a57e1cb97092" xsi:nil="true"/>
    <CCOffice xmlns="c5328c40-880a-4585-bbf1-a57e1cb97092">UK</CCOffice>
    <LegacyInformation xmlns="c5328c40-880a-4585-bbf1-a57e1cb97092" xsi:nil="true"/>
    <MatterStatus xmlns="c5328c40-880a-4585-bbf1-a57e1cb97092">Current</MatterStatus>
    <LegalTopicTaxHTField0 xmlns="c5328c40-880a-4585-bbf1-a57e1cb97092" xsi:nil="true"/>
    <MatterNumber xmlns="c5328c40-880a-4585-bbf1-a57e1cb97092">UK-3999-LMA</MatterNumber>
    <PracticeGroup xmlns="c5328c40-880a-4585-bbf1-a57e1cb97092">B&amp;F Central Support</PracticeGroup>
    <LegalDocumentTypeTaxHTField0 xmlns="c5328c40-880a-4585-bbf1-a57e1cb97092" xsi:nil="true"/>
    <MatterName xmlns="c5328c40-880a-4585-bbf1-a57e1cb97092">UK-3999-LMA</MatterName>
    <TaxCatchAll xmlns="c5328c40-880a-4585-bbf1-a57e1cb97092" xsi:nil="true"/>
    <JurisdictionTaxHTField0 xmlns="c5328c40-880a-4585-bbf1-a57e1cb97092" xsi:nil="true"/>
    <KeyDocument xmlns="c5328c40-880a-4585-bbf1-a57e1cb97092">false</KeyDocument>
    <PracticeArea xmlns="c5328c40-880a-4585-bbf1-a57e1cb97092">Capital Markets</PracticeArea>
    <ConfigListSynch xmlns="c5328c40-880a-4585-bbf1-a57e1cb97092" xsi:nil="true"/>
    <SectorTaxHTField0 xmlns="c5328c40-880a-4585-bbf1-a57e1cb97092" xsi:nil="true"/>
  </documentManagement>
</p:properties>
</file>

<file path=customXml/itemProps1.xml><?xml version="1.0" encoding="utf-8"?>
<ds:datastoreItem xmlns:ds="http://schemas.openxmlformats.org/officeDocument/2006/customXml" ds:itemID="{3848605E-25D2-4A2F-956D-F38F59D1AB91}"/>
</file>

<file path=customXml/itemProps2.xml><?xml version="1.0" encoding="utf-8"?>
<ds:datastoreItem xmlns:ds="http://schemas.openxmlformats.org/officeDocument/2006/customXml" ds:itemID="{77B92661-98A2-4D78-89A4-5605DE8C90E6}">
  <ds:schemaRefs>
    <ds:schemaRef ds:uri="http://schemas.microsoft.com/sharepoint/v3/contenttype/forms"/>
  </ds:schemaRefs>
</ds:datastoreItem>
</file>

<file path=customXml/itemProps3.xml><?xml version="1.0" encoding="utf-8"?>
<ds:datastoreItem xmlns:ds="http://schemas.openxmlformats.org/officeDocument/2006/customXml" ds:itemID="{05CEF64A-9CEE-4457-9235-F014D43C1489}">
  <ds:schemaRefs>
    <ds:schemaRef ds:uri="http://schemas.openxmlformats.org/officeDocument/2006/bibliography"/>
  </ds:schemaRefs>
</ds:datastoreItem>
</file>

<file path=customXml/itemProps4.xml><?xml version="1.0" encoding="utf-8"?>
<ds:datastoreItem xmlns:ds="http://schemas.openxmlformats.org/officeDocument/2006/customXml" ds:itemID="{EA36C910-2A0A-444A-BB44-D057133F7317}">
  <ds:schemaRefs>
    <ds:schemaRef ds:uri="http://schemas.microsoft.com/office/2006/metadata/properties"/>
    <ds:schemaRef ds:uri="http://schemas.microsoft.com/office/infopath/2007/PartnerControls"/>
    <ds:schemaRef ds:uri="c5328c40-880a-4585-bbf1-a57e1cb970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1421</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Hogg</dc:creator>
  <cp:keywords/>
  <dc:description/>
  <cp:lastModifiedBy>Oskar Vuckovic-Kihlstrom</cp:lastModifiedBy>
  <cp:revision>2</cp:revision>
  <dcterms:created xsi:type="dcterms:W3CDTF">2025-10-28T14:52:00Z</dcterms:created>
  <dcterms:modified xsi:type="dcterms:W3CDTF">2025-10-28T14:52:00Z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0x01010082D0B51EEABE574695EDDA2BB52A09600100FC37C1A2FAEFC04E96274E12E86F3DC7</vt:lpwstr>
  </property>
  <property fmtid="{D5CDD505-2E9C-101B-9397-08002B2CF9AE}" pid="3" name="GrammarlyDocumentId">
    <vt:lpwstr>16934046-1d9a-4f65-b614-c204c7235dc5</vt:lpwstr>
  </property>
</Properties>
</file>