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CB983" w14:textId="53052FDF" w:rsidR="007728E9" w:rsidRPr="00601273" w:rsidRDefault="003C41C7" w:rsidP="003C41C7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601273">
        <w:rPr>
          <w:rFonts w:ascii="Calibri" w:hAnsi="Calibri" w:cs="Calibri"/>
          <w:b/>
          <w:bCs/>
          <w:sz w:val="22"/>
          <w:szCs w:val="22"/>
        </w:rPr>
        <w:t xml:space="preserve">LMA </w:t>
      </w:r>
      <w:r w:rsidR="0016281E">
        <w:rPr>
          <w:rFonts w:ascii="Calibri" w:hAnsi="Calibri" w:cs="Calibri"/>
          <w:b/>
          <w:bCs/>
          <w:sz w:val="22"/>
          <w:szCs w:val="22"/>
        </w:rPr>
        <w:t>Transition Finance</w:t>
      </w:r>
      <w:r w:rsidRPr="00601273">
        <w:rPr>
          <w:rFonts w:ascii="Calibri" w:hAnsi="Calibri" w:cs="Calibri"/>
          <w:b/>
          <w:bCs/>
          <w:sz w:val="22"/>
          <w:szCs w:val="22"/>
        </w:rPr>
        <w:t xml:space="preserve"> Taskforce</w:t>
      </w:r>
      <w:r w:rsidR="008C1445">
        <w:rPr>
          <w:rFonts w:ascii="Calibri" w:hAnsi="Calibri" w:cs="Calibri"/>
          <w:b/>
          <w:bCs/>
          <w:sz w:val="22"/>
          <w:szCs w:val="22"/>
        </w:rPr>
        <w:t xml:space="preserve"> (the “Taskforce”)</w:t>
      </w:r>
    </w:p>
    <w:p w14:paraId="4BD69C94" w14:textId="2A48D06B" w:rsidR="003C41C7" w:rsidRDefault="003C41C7" w:rsidP="003C41C7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Terms of Reference</w:t>
      </w:r>
    </w:p>
    <w:p w14:paraId="3DBEA5E6" w14:textId="094A77F9" w:rsidR="00734A3C" w:rsidRDefault="00734A3C" w:rsidP="003C41C7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Background and </w:t>
      </w:r>
      <w:r w:rsidR="00B864FD">
        <w:rPr>
          <w:rFonts w:ascii="Calibri" w:hAnsi="Calibri" w:cs="Calibri"/>
          <w:b/>
          <w:bCs/>
          <w:sz w:val="22"/>
          <w:szCs w:val="22"/>
        </w:rPr>
        <w:t>Overall Objective</w:t>
      </w:r>
    </w:p>
    <w:p w14:paraId="358C0097" w14:textId="04095DF2" w:rsidR="00757A7F" w:rsidRDefault="003A5497" w:rsidP="00757A7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In October 2025, the LMA, LSTA and APLMA released the </w:t>
      </w:r>
      <w:r w:rsidR="00CA22A8">
        <w:rPr>
          <w:rFonts w:ascii="Calibri" w:hAnsi="Calibri" w:cs="Calibri"/>
          <w:sz w:val="22"/>
          <w:szCs w:val="22"/>
        </w:rPr>
        <w:t>Guide to Transition Loans</w:t>
      </w:r>
      <w:r w:rsidR="00504BD5">
        <w:rPr>
          <w:rFonts w:ascii="Calibri" w:hAnsi="Calibri" w:cs="Calibri"/>
          <w:sz w:val="22"/>
          <w:szCs w:val="22"/>
        </w:rPr>
        <w:t xml:space="preserve"> (the Guide)</w:t>
      </w:r>
      <w:r w:rsidR="00CA22A8">
        <w:rPr>
          <w:rFonts w:ascii="Calibri" w:hAnsi="Calibri" w:cs="Calibri"/>
          <w:sz w:val="22"/>
          <w:szCs w:val="22"/>
        </w:rPr>
        <w:t>. This contained</w:t>
      </w:r>
      <w:r w:rsidR="00ED6025">
        <w:rPr>
          <w:rFonts w:ascii="Calibri" w:hAnsi="Calibri" w:cs="Calibri"/>
          <w:sz w:val="22"/>
          <w:szCs w:val="22"/>
        </w:rPr>
        <w:t xml:space="preserve"> the Transition Loan Principles</w:t>
      </w:r>
      <w:r w:rsidR="004030B4">
        <w:rPr>
          <w:rFonts w:ascii="Calibri" w:hAnsi="Calibri" w:cs="Calibri"/>
          <w:sz w:val="22"/>
          <w:szCs w:val="22"/>
        </w:rPr>
        <w:t xml:space="preserve"> – Exposure Draft</w:t>
      </w:r>
      <w:r w:rsidR="00ED6025">
        <w:rPr>
          <w:rFonts w:ascii="Calibri" w:hAnsi="Calibri" w:cs="Calibri"/>
          <w:sz w:val="22"/>
          <w:szCs w:val="22"/>
        </w:rPr>
        <w:t xml:space="preserve"> (TLP)</w:t>
      </w:r>
      <w:r w:rsidR="00170953">
        <w:rPr>
          <w:rFonts w:ascii="Calibri" w:hAnsi="Calibri" w:cs="Calibri"/>
          <w:sz w:val="22"/>
          <w:szCs w:val="22"/>
        </w:rPr>
        <w:t xml:space="preserve">, as well as additional Guidance on usage of </w:t>
      </w:r>
      <w:r w:rsidR="00BC7DDE">
        <w:rPr>
          <w:rFonts w:ascii="Calibri" w:hAnsi="Calibri" w:cs="Calibri"/>
          <w:sz w:val="22"/>
          <w:szCs w:val="22"/>
        </w:rPr>
        <w:t>transition-labelled loan products</w:t>
      </w:r>
      <w:r w:rsidR="00ED6025">
        <w:rPr>
          <w:rFonts w:ascii="Calibri" w:hAnsi="Calibri" w:cs="Calibri"/>
          <w:sz w:val="22"/>
          <w:szCs w:val="22"/>
        </w:rPr>
        <w:t xml:space="preserve">. </w:t>
      </w:r>
      <w:r w:rsidR="00343D32">
        <w:rPr>
          <w:rFonts w:ascii="Calibri" w:hAnsi="Calibri" w:cs="Calibri"/>
          <w:sz w:val="22"/>
          <w:szCs w:val="22"/>
        </w:rPr>
        <w:t>The</w:t>
      </w:r>
      <w:r w:rsidR="009F2780">
        <w:rPr>
          <w:rFonts w:ascii="Calibri" w:hAnsi="Calibri" w:cs="Calibri"/>
          <w:sz w:val="22"/>
          <w:szCs w:val="22"/>
        </w:rPr>
        <w:t xml:space="preserve"> TLP</w:t>
      </w:r>
      <w:r w:rsidR="00343D32">
        <w:rPr>
          <w:rFonts w:ascii="Calibri" w:hAnsi="Calibri" w:cs="Calibri"/>
          <w:sz w:val="22"/>
          <w:szCs w:val="22"/>
        </w:rPr>
        <w:t xml:space="preserve"> were released in </w:t>
      </w:r>
      <w:r w:rsidR="004030B4">
        <w:rPr>
          <w:rFonts w:ascii="Calibri" w:hAnsi="Calibri" w:cs="Calibri"/>
          <w:sz w:val="22"/>
          <w:szCs w:val="22"/>
        </w:rPr>
        <w:t xml:space="preserve">this format to allow for the gathering of market </w:t>
      </w:r>
      <w:r w:rsidR="00114BE7">
        <w:rPr>
          <w:rFonts w:ascii="Calibri" w:hAnsi="Calibri" w:cs="Calibri"/>
          <w:sz w:val="22"/>
          <w:szCs w:val="22"/>
        </w:rPr>
        <w:t xml:space="preserve">feedback </w:t>
      </w:r>
      <w:r w:rsidR="004030B4">
        <w:rPr>
          <w:rFonts w:ascii="Calibri" w:hAnsi="Calibri" w:cs="Calibri"/>
          <w:sz w:val="22"/>
          <w:szCs w:val="22"/>
        </w:rPr>
        <w:t>by the LMA, such as</w:t>
      </w:r>
      <w:r w:rsidR="00114BE7">
        <w:rPr>
          <w:rFonts w:ascii="Calibri" w:hAnsi="Calibri" w:cs="Calibri"/>
          <w:sz w:val="22"/>
          <w:szCs w:val="22"/>
        </w:rPr>
        <w:t xml:space="preserve"> to ensure that the</w:t>
      </w:r>
      <w:r w:rsidR="004254C5">
        <w:rPr>
          <w:rFonts w:ascii="Calibri" w:hAnsi="Calibri" w:cs="Calibri"/>
          <w:sz w:val="22"/>
          <w:szCs w:val="22"/>
        </w:rPr>
        <w:t xml:space="preserve"> TLP are fit for purpose.</w:t>
      </w:r>
      <w:r w:rsidR="008F11FF">
        <w:rPr>
          <w:rFonts w:ascii="Calibri" w:hAnsi="Calibri" w:cs="Calibri"/>
          <w:sz w:val="22"/>
          <w:szCs w:val="22"/>
        </w:rPr>
        <w:t xml:space="preserve"> It had been agreed </w:t>
      </w:r>
      <w:r w:rsidR="00E30B14">
        <w:rPr>
          <w:rFonts w:ascii="Calibri" w:hAnsi="Calibri" w:cs="Calibri"/>
          <w:sz w:val="22"/>
          <w:szCs w:val="22"/>
        </w:rPr>
        <w:t>by the LMA Sustainability Committee (the Committee)</w:t>
      </w:r>
      <w:r w:rsidR="00BC7DDE">
        <w:rPr>
          <w:rFonts w:ascii="Calibri" w:hAnsi="Calibri" w:cs="Calibri"/>
          <w:sz w:val="22"/>
          <w:szCs w:val="22"/>
        </w:rPr>
        <w:t xml:space="preserve"> in September 2025</w:t>
      </w:r>
      <w:r w:rsidR="00E30B14">
        <w:rPr>
          <w:rFonts w:ascii="Calibri" w:hAnsi="Calibri" w:cs="Calibri"/>
          <w:sz w:val="22"/>
          <w:szCs w:val="22"/>
        </w:rPr>
        <w:t xml:space="preserve"> </w:t>
      </w:r>
      <w:r w:rsidR="008F11FF">
        <w:rPr>
          <w:rFonts w:ascii="Calibri" w:hAnsi="Calibri" w:cs="Calibri"/>
          <w:sz w:val="22"/>
          <w:szCs w:val="22"/>
        </w:rPr>
        <w:t xml:space="preserve">that </w:t>
      </w:r>
      <w:r w:rsidR="008D7241">
        <w:rPr>
          <w:rFonts w:ascii="Calibri" w:hAnsi="Calibri" w:cs="Calibri"/>
          <w:sz w:val="22"/>
          <w:szCs w:val="22"/>
        </w:rPr>
        <w:t>work on a</w:t>
      </w:r>
      <w:r w:rsidR="00E30B14">
        <w:rPr>
          <w:rFonts w:ascii="Calibri" w:hAnsi="Calibri" w:cs="Calibri"/>
          <w:sz w:val="22"/>
          <w:szCs w:val="22"/>
        </w:rPr>
        <w:t xml:space="preserve"> full TLP publication </w:t>
      </w:r>
      <w:r w:rsidR="0032340F">
        <w:rPr>
          <w:rFonts w:ascii="Calibri" w:hAnsi="Calibri" w:cs="Calibri"/>
          <w:sz w:val="22"/>
          <w:szCs w:val="22"/>
        </w:rPr>
        <w:t xml:space="preserve">would </w:t>
      </w:r>
      <w:r w:rsidR="008D7241">
        <w:rPr>
          <w:rFonts w:ascii="Calibri" w:hAnsi="Calibri" w:cs="Calibri"/>
          <w:sz w:val="22"/>
          <w:szCs w:val="22"/>
        </w:rPr>
        <w:t>begin</w:t>
      </w:r>
      <w:r w:rsidR="0032340F">
        <w:rPr>
          <w:rFonts w:ascii="Calibri" w:hAnsi="Calibri" w:cs="Calibri"/>
          <w:sz w:val="22"/>
          <w:szCs w:val="22"/>
        </w:rPr>
        <w:t xml:space="preserve"> 6</w:t>
      </w:r>
      <w:r w:rsidR="00E54E3A">
        <w:rPr>
          <w:rFonts w:ascii="Calibri" w:hAnsi="Calibri" w:cs="Calibri"/>
          <w:sz w:val="22"/>
          <w:szCs w:val="22"/>
        </w:rPr>
        <w:t xml:space="preserve"> to 1</w:t>
      </w:r>
      <w:r w:rsidR="0032340F">
        <w:rPr>
          <w:rFonts w:ascii="Calibri" w:hAnsi="Calibri" w:cs="Calibri"/>
          <w:sz w:val="22"/>
          <w:szCs w:val="22"/>
        </w:rPr>
        <w:t>2 months after the release of the Guide.</w:t>
      </w:r>
    </w:p>
    <w:p w14:paraId="0A6CE11F" w14:textId="0D956153" w:rsidR="00BD5801" w:rsidRDefault="007C0158" w:rsidP="000F375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</w:t>
      </w:r>
      <w:r w:rsidR="00644B56">
        <w:rPr>
          <w:rFonts w:ascii="Calibri" w:hAnsi="Calibri" w:cs="Calibri"/>
          <w:sz w:val="22"/>
          <w:szCs w:val="22"/>
        </w:rPr>
        <w:t xml:space="preserve">he </w:t>
      </w:r>
      <w:r w:rsidR="008A32CC">
        <w:rPr>
          <w:rFonts w:ascii="Calibri" w:hAnsi="Calibri" w:cs="Calibri"/>
          <w:sz w:val="22"/>
          <w:szCs w:val="22"/>
        </w:rPr>
        <w:t xml:space="preserve">Taskforce </w:t>
      </w:r>
      <w:r w:rsidR="00843C95">
        <w:rPr>
          <w:rFonts w:ascii="Calibri" w:hAnsi="Calibri" w:cs="Calibri"/>
          <w:sz w:val="22"/>
          <w:szCs w:val="22"/>
        </w:rPr>
        <w:t>will</w:t>
      </w:r>
      <w:r w:rsidR="00344A11">
        <w:rPr>
          <w:rFonts w:ascii="Calibri" w:hAnsi="Calibri" w:cs="Calibri"/>
          <w:sz w:val="22"/>
          <w:szCs w:val="22"/>
        </w:rPr>
        <w:t xml:space="preserve"> assist with the</w:t>
      </w:r>
      <w:r w:rsidR="008A32CC">
        <w:rPr>
          <w:rFonts w:ascii="Calibri" w:hAnsi="Calibri" w:cs="Calibri"/>
          <w:sz w:val="22"/>
          <w:szCs w:val="22"/>
        </w:rPr>
        <w:t xml:space="preserve"> </w:t>
      </w:r>
      <w:r w:rsidR="008C639C">
        <w:rPr>
          <w:rFonts w:ascii="Calibri" w:hAnsi="Calibri" w:cs="Calibri"/>
          <w:sz w:val="22"/>
          <w:szCs w:val="22"/>
        </w:rPr>
        <w:t>transition</w:t>
      </w:r>
      <w:r w:rsidR="00843C95">
        <w:rPr>
          <w:rFonts w:ascii="Calibri" w:hAnsi="Calibri" w:cs="Calibri"/>
          <w:sz w:val="22"/>
          <w:szCs w:val="22"/>
        </w:rPr>
        <w:t xml:space="preserve"> from</w:t>
      </w:r>
      <w:r w:rsidR="008C639C">
        <w:rPr>
          <w:rFonts w:ascii="Calibri" w:hAnsi="Calibri" w:cs="Calibri"/>
          <w:sz w:val="22"/>
          <w:szCs w:val="22"/>
        </w:rPr>
        <w:t xml:space="preserve"> the </w:t>
      </w:r>
      <w:r w:rsidR="00186B0B">
        <w:rPr>
          <w:rFonts w:ascii="Calibri" w:hAnsi="Calibri" w:cs="Calibri"/>
          <w:sz w:val="22"/>
          <w:szCs w:val="22"/>
        </w:rPr>
        <w:t>exposure draft</w:t>
      </w:r>
      <w:r w:rsidR="001010E7">
        <w:rPr>
          <w:rFonts w:ascii="Calibri" w:hAnsi="Calibri" w:cs="Calibri"/>
          <w:sz w:val="22"/>
          <w:szCs w:val="22"/>
        </w:rPr>
        <w:t xml:space="preserve"> TLP</w:t>
      </w:r>
      <w:r w:rsidR="00186B0B">
        <w:rPr>
          <w:rFonts w:ascii="Calibri" w:hAnsi="Calibri" w:cs="Calibri"/>
          <w:sz w:val="22"/>
          <w:szCs w:val="22"/>
        </w:rPr>
        <w:t xml:space="preserve"> and overall Guide into an</w:t>
      </w:r>
      <w:r w:rsidR="00312607">
        <w:rPr>
          <w:rFonts w:ascii="Calibri" w:hAnsi="Calibri" w:cs="Calibri"/>
          <w:sz w:val="22"/>
          <w:szCs w:val="22"/>
        </w:rPr>
        <w:t xml:space="preserve"> updated, full TLP</w:t>
      </w:r>
      <w:r w:rsidR="001010E7">
        <w:rPr>
          <w:rFonts w:ascii="Calibri" w:hAnsi="Calibri" w:cs="Calibri"/>
          <w:sz w:val="22"/>
          <w:szCs w:val="22"/>
        </w:rPr>
        <w:t xml:space="preserve"> publication</w:t>
      </w:r>
      <w:r w:rsidR="00312607">
        <w:rPr>
          <w:rFonts w:ascii="Calibri" w:hAnsi="Calibri" w:cs="Calibri"/>
          <w:sz w:val="22"/>
          <w:szCs w:val="22"/>
        </w:rPr>
        <w:t xml:space="preserve">, </w:t>
      </w:r>
      <w:r w:rsidR="00186B0B">
        <w:rPr>
          <w:rFonts w:ascii="Calibri" w:hAnsi="Calibri" w:cs="Calibri"/>
          <w:sz w:val="22"/>
          <w:szCs w:val="22"/>
        </w:rPr>
        <w:t>with</w:t>
      </w:r>
      <w:r w:rsidR="00312607">
        <w:rPr>
          <w:rFonts w:ascii="Calibri" w:hAnsi="Calibri" w:cs="Calibri"/>
          <w:sz w:val="22"/>
          <w:szCs w:val="22"/>
        </w:rPr>
        <w:t xml:space="preserve"> accompanying Guidance</w:t>
      </w:r>
      <w:r w:rsidR="00504BD5">
        <w:rPr>
          <w:rFonts w:ascii="Calibri" w:hAnsi="Calibri" w:cs="Calibri"/>
          <w:sz w:val="22"/>
          <w:szCs w:val="22"/>
        </w:rPr>
        <w:t xml:space="preserve">. </w:t>
      </w:r>
      <w:r w:rsidR="00194276">
        <w:rPr>
          <w:rFonts w:ascii="Calibri" w:hAnsi="Calibri" w:cs="Calibri"/>
          <w:sz w:val="22"/>
          <w:szCs w:val="22"/>
        </w:rPr>
        <w:t xml:space="preserve">Taskforce work will also </w:t>
      </w:r>
      <w:r w:rsidR="00C64669">
        <w:rPr>
          <w:rFonts w:ascii="Calibri" w:hAnsi="Calibri" w:cs="Calibri"/>
          <w:sz w:val="22"/>
          <w:szCs w:val="22"/>
        </w:rPr>
        <w:t>involve additions</w:t>
      </w:r>
      <w:r w:rsidR="00504BD5">
        <w:rPr>
          <w:rFonts w:ascii="Calibri" w:hAnsi="Calibri" w:cs="Calibri"/>
          <w:sz w:val="22"/>
          <w:szCs w:val="22"/>
        </w:rPr>
        <w:t xml:space="preserve"> to the Guidance to the Sustainability-Linked Loan Principles (SLLP) </w:t>
      </w:r>
      <w:r w:rsidR="00C64669">
        <w:rPr>
          <w:rFonts w:ascii="Calibri" w:hAnsi="Calibri" w:cs="Calibri"/>
          <w:sz w:val="22"/>
          <w:szCs w:val="22"/>
        </w:rPr>
        <w:t xml:space="preserve">on </w:t>
      </w:r>
      <w:r w:rsidR="00504BD5">
        <w:rPr>
          <w:rFonts w:ascii="Calibri" w:hAnsi="Calibri" w:cs="Calibri"/>
          <w:sz w:val="22"/>
          <w:szCs w:val="22"/>
        </w:rPr>
        <w:t xml:space="preserve">transition-themed Sustainability-linked </w:t>
      </w:r>
      <w:r w:rsidR="002C27B4">
        <w:rPr>
          <w:rFonts w:ascii="Calibri" w:hAnsi="Calibri" w:cs="Calibri"/>
          <w:sz w:val="22"/>
          <w:szCs w:val="22"/>
        </w:rPr>
        <w:t>l</w:t>
      </w:r>
      <w:r w:rsidR="00504BD5">
        <w:rPr>
          <w:rFonts w:ascii="Calibri" w:hAnsi="Calibri" w:cs="Calibri"/>
          <w:sz w:val="22"/>
          <w:szCs w:val="22"/>
        </w:rPr>
        <w:t xml:space="preserve">oans (SLLs). </w:t>
      </w:r>
    </w:p>
    <w:p w14:paraId="452B8B1F" w14:textId="09F89E13" w:rsidR="00295DC7" w:rsidRDefault="00295DC7" w:rsidP="00343D3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Taskforce will</w:t>
      </w:r>
      <w:r w:rsidR="000F375D">
        <w:rPr>
          <w:rFonts w:ascii="Calibri" w:hAnsi="Calibri" w:cs="Calibri"/>
          <w:sz w:val="22"/>
          <w:szCs w:val="22"/>
        </w:rPr>
        <w:t xml:space="preserve"> carry out this task by</w:t>
      </w:r>
      <w:r>
        <w:rPr>
          <w:rFonts w:ascii="Calibri" w:hAnsi="Calibri" w:cs="Calibri"/>
          <w:sz w:val="22"/>
          <w:szCs w:val="22"/>
        </w:rPr>
        <w:t xml:space="preserve"> review</w:t>
      </w:r>
      <w:r w:rsidR="000F375D">
        <w:rPr>
          <w:rFonts w:ascii="Calibri" w:hAnsi="Calibri" w:cs="Calibri"/>
          <w:sz w:val="22"/>
          <w:szCs w:val="22"/>
        </w:rPr>
        <w:t>ing</w:t>
      </w:r>
      <w:r>
        <w:rPr>
          <w:rFonts w:ascii="Calibri" w:hAnsi="Calibri" w:cs="Calibri"/>
          <w:sz w:val="22"/>
          <w:szCs w:val="22"/>
        </w:rPr>
        <w:t xml:space="preserve"> areas of the</w:t>
      </w:r>
      <w:r w:rsidR="000F375D">
        <w:rPr>
          <w:rFonts w:ascii="Calibri" w:hAnsi="Calibri" w:cs="Calibri"/>
          <w:sz w:val="22"/>
          <w:szCs w:val="22"/>
        </w:rPr>
        <w:t xml:space="preserve"> existing exposure draft</w:t>
      </w:r>
      <w:r>
        <w:rPr>
          <w:rFonts w:ascii="Calibri" w:hAnsi="Calibri" w:cs="Calibri"/>
          <w:sz w:val="22"/>
          <w:szCs w:val="22"/>
        </w:rPr>
        <w:t xml:space="preserve"> TLP </w:t>
      </w:r>
      <w:r w:rsidR="004C0348">
        <w:rPr>
          <w:rFonts w:ascii="Calibri" w:hAnsi="Calibri" w:cs="Calibri"/>
          <w:sz w:val="22"/>
          <w:szCs w:val="22"/>
        </w:rPr>
        <w:t xml:space="preserve">which </w:t>
      </w:r>
      <w:r w:rsidR="002C27B4">
        <w:rPr>
          <w:rFonts w:ascii="Calibri" w:hAnsi="Calibri" w:cs="Calibri"/>
          <w:sz w:val="22"/>
          <w:szCs w:val="22"/>
        </w:rPr>
        <w:t>are in need of</w:t>
      </w:r>
      <w:r>
        <w:rPr>
          <w:rFonts w:ascii="Calibri" w:hAnsi="Calibri" w:cs="Calibri"/>
          <w:sz w:val="22"/>
          <w:szCs w:val="22"/>
        </w:rPr>
        <w:t xml:space="preserve"> clarification or </w:t>
      </w:r>
      <w:r w:rsidR="00D76C53">
        <w:rPr>
          <w:rFonts w:ascii="Calibri" w:hAnsi="Calibri" w:cs="Calibri"/>
          <w:sz w:val="22"/>
          <w:szCs w:val="22"/>
        </w:rPr>
        <w:t>refinement and</w:t>
      </w:r>
      <w:r w:rsidR="003D5A78">
        <w:rPr>
          <w:rFonts w:ascii="Calibri" w:hAnsi="Calibri" w:cs="Calibri"/>
          <w:sz w:val="22"/>
          <w:szCs w:val="22"/>
        </w:rPr>
        <w:t xml:space="preserve"> </w:t>
      </w:r>
      <w:r w:rsidR="001010E7">
        <w:rPr>
          <w:rFonts w:ascii="Calibri" w:hAnsi="Calibri" w:cs="Calibri"/>
          <w:sz w:val="22"/>
          <w:szCs w:val="22"/>
        </w:rPr>
        <w:t>developing</w:t>
      </w:r>
      <w:r w:rsidR="00452E0B">
        <w:rPr>
          <w:rFonts w:ascii="Calibri" w:hAnsi="Calibri" w:cs="Calibri"/>
          <w:sz w:val="22"/>
          <w:szCs w:val="22"/>
        </w:rPr>
        <w:t xml:space="preserve"> illustrative</w:t>
      </w:r>
      <w:r w:rsidR="003D5A78">
        <w:rPr>
          <w:rFonts w:ascii="Calibri" w:hAnsi="Calibri" w:cs="Calibri"/>
          <w:sz w:val="22"/>
          <w:szCs w:val="22"/>
        </w:rPr>
        <w:t xml:space="preserve"> use cases</w:t>
      </w:r>
      <w:r w:rsidR="008B6ABA">
        <w:rPr>
          <w:rFonts w:ascii="Calibri" w:hAnsi="Calibri" w:cs="Calibri"/>
          <w:sz w:val="22"/>
          <w:szCs w:val="22"/>
        </w:rPr>
        <w:t xml:space="preserve"> of the TLP within the market</w:t>
      </w:r>
      <w:r w:rsidR="001010E7">
        <w:rPr>
          <w:rFonts w:ascii="Calibri" w:hAnsi="Calibri" w:cs="Calibri"/>
          <w:sz w:val="22"/>
          <w:szCs w:val="22"/>
        </w:rPr>
        <w:t xml:space="preserve"> </w:t>
      </w:r>
      <w:r w:rsidR="00452E0B">
        <w:rPr>
          <w:rFonts w:ascii="Calibri" w:hAnsi="Calibri" w:cs="Calibri"/>
          <w:sz w:val="22"/>
          <w:szCs w:val="22"/>
        </w:rPr>
        <w:t>to be included in supporting</w:t>
      </w:r>
      <w:r w:rsidR="001010E7">
        <w:rPr>
          <w:rFonts w:ascii="Calibri" w:hAnsi="Calibri" w:cs="Calibri"/>
          <w:sz w:val="22"/>
          <w:szCs w:val="22"/>
        </w:rPr>
        <w:t xml:space="preserve"> Guidance</w:t>
      </w:r>
      <w:r w:rsidR="003D5A78">
        <w:rPr>
          <w:rFonts w:ascii="Calibri" w:hAnsi="Calibri" w:cs="Calibri"/>
          <w:sz w:val="22"/>
          <w:szCs w:val="22"/>
        </w:rPr>
        <w:t xml:space="preserve">. </w:t>
      </w:r>
    </w:p>
    <w:p w14:paraId="34B02A3C" w14:textId="05226A33" w:rsidR="00601273" w:rsidRPr="00601273" w:rsidRDefault="00601273" w:rsidP="00601273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Key objectives</w:t>
      </w:r>
    </w:p>
    <w:p w14:paraId="71F1E640" w14:textId="1198B089" w:rsidR="00601273" w:rsidRDefault="00601273" w:rsidP="008B6ABA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</w:t>
      </w:r>
      <w:r w:rsidR="00194276">
        <w:rPr>
          <w:rFonts w:ascii="Calibri" w:hAnsi="Calibri" w:cs="Calibri"/>
          <w:sz w:val="22"/>
          <w:szCs w:val="22"/>
        </w:rPr>
        <w:t>T</w:t>
      </w:r>
      <w:r>
        <w:rPr>
          <w:rFonts w:ascii="Calibri" w:hAnsi="Calibri" w:cs="Calibri"/>
          <w:sz w:val="22"/>
          <w:szCs w:val="22"/>
        </w:rPr>
        <w:t>askforce has been</w:t>
      </w:r>
      <w:r w:rsidRPr="00601273">
        <w:rPr>
          <w:rFonts w:ascii="Calibri" w:hAnsi="Calibri" w:cs="Calibri"/>
          <w:sz w:val="22"/>
          <w:szCs w:val="22"/>
        </w:rPr>
        <w:t xml:space="preserve"> established to </w:t>
      </w:r>
      <w:r w:rsidR="008B6ABA">
        <w:rPr>
          <w:rFonts w:ascii="Calibri" w:hAnsi="Calibri" w:cs="Calibri"/>
          <w:sz w:val="22"/>
          <w:szCs w:val="22"/>
        </w:rPr>
        <w:t>support the transition of the TLP – Exposure Draft into a full publication</w:t>
      </w:r>
      <w:r w:rsidR="00344A11">
        <w:rPr>
          <w:rFonts w:ascii="Calibri" w:hAnsi="Calibri" w:cs="Calibri"/>
          <w:sz w:val="22"/>
          <w:szCs w:val="22"/>
        </w:rPr>
        <w:t xml:space="preserve">, </w:t>
      </w:r>
      <w:r w:rsidR="00800D07">
        <w:rPr>
          <w:rFonts w:ascii="Calibri" w:hAnsi="Calibri" w:cs="Calibri"/>
          <w:sz w:val="22"/>
          <w:szCs w:val="22"/>
        </w:rPr>
        <w:t>which will sit alongside a set of supporting Guidance</w:t>
      </w:r>
      <w:r w:rsidR="002D1A71">
        <w:rPr>
          <w:rFonts w:ascii="Calibri" w:hAnsi="Calibri" w:cs="Calibri"/>
          <w:sz w:val="22"/>
          <w:szCs w:val="22"/>
        </w:rPr>
        <w:t>,</w:t>
      </w:r>
      <w:r w:rsidR="00800D07">
        <w:rPr>
          <w:rFonts w:ascii="Calibri" w:hAnsi="Calibri" w:cs="Calibri"/>
          <w:sz w:val="22"/>
          <w:szCs w:val="22"/>
        </w:rPr>
        <w:t xml:space="preserve"> and</w:t>
      </w:r>
      <w:r w:rsidR="00D76C53">
        <w:rPr>
          <w:rFonts w:ascii="Calibri" w:hAnsi="Calibri" w:cs="Calibri"/>
          <w:sz w:val="22"/>
          <w:szCs w:val="22"/>
        </w:rPr>
        <w:t xml:space="preserve"> ensure</w:t>
      </w:r>
      <w:r w:rsidR="00452E0B">
        <w:rPr>
          <w:rFonts w:ascii="Calibri" w:hAnsi="Calibri" w:cs="Calibri"/>
          <w:sz w:val="22"/>
          <w:szCs w:val="22"/>
        </w:rPr>
        <w:t xml:space="preserve"> that</w:t>
      </w:r>
      <w:r w:rsidR="00905ECC">
        <w:rPr>
          <w:rFonts w:ascii="Calibri" w:hAnsi="Calibri" w:cs="Calibri"/>
          <w:sz w:val="22"/>
          <w:szCs w:val="22"/>
        </w:rPr>
        <w:t xml:space="preserve"> the</w:t>
      </w:r>
      <w:r w:rsidR="00452E0B">
        <w:rPr>
          <w:rFonts w:ascii="Calibri" w:hAnsi="Calibri" w:cs="Calibri"/>
          <w:sz w:val="22"/>
          <w:szCs w:val="22"/>
        </w:rPr>
        <w:t xml:space="preserve"> </w:t>
      </w:r>
      <w:r w:rsidR="002D1A71">
        <w:rPr>
          <w:rFonts w:ascii="Calibri" w:hAnsi="Calibri" w:cs="Calibri"/>
          <w:sz w:val="22"/>
          <w:szCs w:val="22"/>
        </w:rPr>
        <w:t>necessary</w:t>
      </w:r>
      <w:r w:rsidR="00800D07">
        <w:rPr>
          <w:rFonts w:ascii="Calibri" w:hAnsi="Calibri" w:cs="Calibri"/>
          <w:sz w:val="22"/>
          <w:szCs w:val="22"/>
        </w:rPr>
        <w:t xml:space="preserve"> </w:t>
      </w:r>
      <w:r w:rsidR="00905ECC">
        <w:rPr>
          <w:rFonts w:ascii="Calibri" w:hAnsi="Calibri" w:cs="Calibri"/>
          <w:sz w:val="22"/>
          <w:szCs w:val="22"/>
        </w:rPr>
        <w:t>additions</w:t>
      </w:r>
      <w:r w:rsidR="00800D07">
        <w:rPr>
          <w:rFonts w:ascii="Calibri" w:hAnsi="Calibri" w:cs="Calibri"/>
          <w:sz w:val="22"/>
          <w:szCs w:val="22"/>
        </w:rPr>
        <w:t xml:space="preserve"> </w:t>
      </w:r>
      <w:r w:rsidR="000A016A">
        <w:rPr>
          <w:rFonts w:ascii="Calibri" w:hAnsi="Calibri" w:cs="Calibri"/>
          <w:sz w:val="22"/>
          <w:szCs w:val="22"/>
        </w:rPr>
        <w:t xml:space="preserve">are </w:t>
      </w:r>
      <w:r w:rsidR="00800D07">
        <w:rPr>
          <w:rFonts w:ascii="Calibri" w:hAnsi="Calibri" w:cs="Calibri"/>
          <w:sz w:val="22"/>
          <w:szCs w:val="22"/>
        </w:rPr>
        <w:t>made to the</w:t>
      </w:r>
      <w:r w:rsidR="00FE53CE">
        <w:rPr>
          <w:rFonts w:ascii="Calibri" w:hAnsi="Calibri" w:cs="Calibri"/>
          <w:sz w:val="22"/>
          <w:szCs w:val="22"/>
        </w:rPr>
        <w:t xml:space="preserve"> Guidance to the</w:t>
      </w:r>
      <w:r w:rsidR="00800D07">
        <w:rPr>
          <w:rFonts w:ascii="Calibri" w:hAnsi="Calibri" w:cs="Calibri"/>
          <w:sz w:val="22"/>
          <w:szCs w:val="22"/>
        </w:rPr>
        <w:t xml:space="preserve"> SLLP</w:t>
      </w:r>
      <w:r w:rsidR="000A016A">
        <w:rPr>
          <w:rFonts w:ascii="Calibri" w:hAnsi="Calibri" w:cs="Calibri"/>
          <w:sz w:val="22"/>
          <w:szCs w:val="22"/>
        </w:rPr>
        <w:t xml:space="preserve"> in accordance with this</w:t>
      </w:r>
      <w:r w:rsidR="00800D07">
        <w:rPr>
          <w:rFonts w:ascii="Calibri" w:hAnsi="Calibri" w:cs="Calibri"/>
          <w:sz w:val="22"/>
          <w:szCs w:val="22"/>
        </w:rPr>
        <w:t xml:space="preserve">. </w:t>
      </w:r>
      <w:r w:rsidR="008C1445">
        <w:rPr>
          <w:rFonts w:ascii="Calibri" w:hAnsi="Calibri" w:cs="Calibri"/>
          <w:sz w:val="22"/>
          <w:szCs w:val="22"/>
        </w:rPr>
        <w:t>The Taskforce will also contribute to the development of case studies</w:t>
      </w:r>
      <w:r w:rsidR="00572BF4">
        <w:rPr>
          <w:rFonts w:ascii="Calibri" w:hAnsi="Calibri" w:cs="Calibri"/>
          <w:sz w:val="22"/>
          <w:szCs w:val="22"/>
        </w:rPr>
        <w:t xml:space="preserve"> </w:t>
      </w:r>
      <w:r w:rsidR="008C1445">
        <w:rPr>
          <w:rFonts w:ascii="Calibri" w:hAnsi="Calibri" w:cs="Calibri"/>
          <w:sz w:val="22"/>
          <w:szCs w:val="22"/>
        </w:rPr>
        <w:t>to be included in the</w:t>
      </w:r>
      <w:r w:rsidR="00572BF4">
        <w:rPr>
          <w:rFonts w:ascii="Calibri" w:hAnsi="Calibri" w:cs="Calibri"/>
          <w:sz w:val="22"/>
          <w:szCs w:val="22"/>
        </w:rPr>
        <w:t xml:space="preserve"> supporting</w:t>
      </w:r>
      <w:r w:rsidR="008C1445">
        <w:rPr>
          <w:rFonts w:ascii="Calibri" w:hAnsi="Calibri" w:cs="Calibri"/>
          <w:sz w:val="22"/>
          <w:szCs w:val="22"/>
        </w:rPr>
        <w:t xml:space="preserve"> Guidance.</w:t>
      </w:r>
    </w:p>
    <w:p w14:paraId="454A57E1" w14:textId="430F8B3F" w:rsidR="002D1A71" w:rsidRPr="00D57900" w:rsidRDefault="00D57900" w:rsidP="008B6ABA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Membership</w:t>
      </w:r>
    </w:p>
    <w:p w14:paraId="76ADB063" w14:textId="57A06F2B" w:rsidR="00665486" w:rsidRDefault="00665486" w:rsidP="00665486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Task</w:t>
      </w:r>
      <w:r w:rsidR="00520B02">
        <w:rPr>
          <w:rFonts w:ascii="Calibri" w:hAnsi="Calibri" w:cs="Calibri"/>
          <w:b/>
          <w:bCs/>
          <w:sz w:val="22"/>
          <w:szCs w:val="22"/>
        </w:rPr>
        <w:t>f</w:t>
      </w:r>
      <w:r>
        <w:rPr>
          <w:rFonts w:ascii="Calibri" w:hAnsi="Calibri" w:cs="Calibri"/>
          <w:b/>
          <w:bCs/>
          <w:sz w:val="22"/>
          <w:szCs w:val="22"/>
        </w:rPr>
        <w:t>orce Members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1102C" w14:paraId="3871F4C5" w14:textId="77777777" w:rsidTr="0011102C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19F40B83" w14:textId="26C7ED92" w:rsidR="0011102C" w:rsidRPr="001570B6" w:rsidRDefault="001570B6" w:rsidP="001570B6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ABN AMRO</w:t>
            </w:r>
          </w:p>
          <w:p w14:paraId="0CF2B723" w14:textId="11A2FDAF" w:rsidR="0011102C" w:rsidRDefault="00601273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Barclays</w:t>
            </w:r>
          </w:p>
          <w:p w14:paraId="5F061800" w14:textId="61D1C0FA" w:rsidR="0011102C" w:rsidRDefault="00601273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  <w:r w:rsidR="001570B6">
              <w:rPr>
                <w:rFonts w:ascii="Calibri" w:hAnsi="Calibri" w:cs="Calibri"/>
                <w:sz w:val="22"/>
                <w:szCs w:val="22"/>
              </w:rPr>
              <w:t>BVA</w:t>
            </w:r>
          </w:p>
          <w:p w14:paraId="3E4843C4" w14:textId="594871AA" w:rsidR="0011102C" w:rsidRDefault="001570B6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BNP Paribas</w:t>
            </w:r>
          </w:p>
          <w:p w14:paraId="71CBB404" w14:textId="19B089AB" w:rsidR="00601273" w:rsidRDefault="00601273" w:rsidP="00601273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  <w:r w:rsidR="00277F28">
              <w:rPr>
                <w:rFonts w:ascii="Calibri" w:hAnsi="Calibri" w:cs="Calibri"/>
                <w:sz w:val="22"/>
                <w:szCs w:val="22"/>
              </w:rPr>
              <w:t>ACIB</w:t>
            </w:r>
          </w:p>
          <w:p w14:paraId="3ABB5192" w14:textId="19FB99C2" w:rsidR="00277F28" w:rsidRDefault="00277F28" w:rsidP="00601273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China C</w:t>
            </w:r>
            <w:r w:rsidR="008F41A0">
              <w:rPr>
                <w:rFonts w:ascii="Calibri" w:hAnsi="Calibri" w:cs="Calibri"/>
                <w:sz w:val="22"/>
                <w:szCs w:val="22"/>
              </w:rPr>
              <w:t>ITIC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Bank International</w:t>
            </w:r>
          </w:p>
          <w:p w14:paraId="5F2B4260" w14:textId="1C6C9CB3" w:rsidR="00277F28" w:rsidRPr="00601273" w:rsidRDefault="00277F28" w:rsidP="00601273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CIBC</w:t>
            </w:r>
          </w:p>
          <w:p w14:paraId="3BF51812" w14:textId="469A82D8" w:rsidR="005F6FFA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DNB Bank SA</w:t>
            </w:r>
          </w:p>
          <w:p w14:paraId="2C0E6E1A" w14:textId="2A72CD53" w:rsidR="0011102C" w:rsidRDefault="00277F28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HSBC</w:t>
            </w:r>
          </w:p>
          <w:p w14:paraId="381D071F" w14:textId="30A94125" w:rsidR="0011102C" w:rsidRDefault="00277F28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ICMA</w:t>
            </w:r>
          </w:p>
          <w:p w14:paraId="4CA6F9EA" w14:textId="2270A437" w:rsidR="000B0DD7" w:rsidRDefault="000B0DD7" w:rsidP="000B0DD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</w:t>
            </w:r>
            <w:r w:rsidR="00277F28">
              <w:rPr>
                <w:rFonts w:ascii="Calibri" w:hAnsi="Calibri" w:cs="Calibri"/>
                <w:sz w:val="22"/>
                <w:szCs w:val="22"/>
              </w:rPr>
              <w:t>FC</w:t>
            </w:r>
          </w:p>
          <w:p w14:paraId="1ABF8610" w14:textId="77777777" w:rsidR="000B0DD7" w:rsidRDefault="00305FCF" w:rsidP="000B0DD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ING</w:t>
            </w:r>
          </w:p>
          <w:p w14:paraId="4086E3D6" w14:textId="77777777" w:rsidR="002D1A71" w:rsidRDefault="002D1A71" w:rsidP="002D1A71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Linklaters LLP</w:t>
            </w:r>
          </w:p>
          <w:p w14:paraId="054598B2" w14:textId="1CC58366" w:rsidR="00E86EFD" w:rsidRDefault="00E86EFD" w:rsidP="002D1A71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Lloyds Banking Group</w:t>
            </w:r>
          </w:p>
          <w:p w14:paraId="11DF6249" w14:textId="77777777" w:rsidR="002D1A71" w:rsidRDefault="002D1A71" w:rsidP="002D1A71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Mizuho</w:t>
            </w:r>
          </w:p>
          <w:p w14:paraId="1952274F" w14:textId="5735D898" w:rsidR="002D1A71" w:rsidRPr="00E86EFD" w:rsidRDefault="002D1A71" w:rsidP="00E86EF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445E78F9" w14:textId="6E6A7CB9" w:rsidR="00E86EFD" w:rsidRDefault="00E86EFD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Moody’s</w:t>
            </w:r>
          </w:p>
          <w:p w14:paraId="2773628D" w14:textId="604EA6B6" w:rsidR="00B305B0" w:rsidRDefault="00B305B0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MUFG</w:t>
            </w:r>
          </w:p>
          <w:p w14:paraId="1886629D" w14:textId="7A337946" w:rsidR="0011102C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Natixis</w:t>
            </w:r>
          </w:p>
          <w:p w14:paraId="40ED0075" w14:textId="28EC4E2A" w:rsidR="00C30E6C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</w:t>
            </w:r>
            <w:r w:rsidR="00B305B0">
              <w:rPr>
                <w:rFonts w:ascii="Calibri" w:hAnsi="Calibri" w:cs="Calibri"/>
                <w:sz w:val="22"/>
                <w:szCs w:val="22"/>
              </w:rPr>
              <w:t>atWest</w:t>
            </w:r>
          </w:p>
          <w:p w14:paraId="7681D70E" w14:textId="52BB4C4E" w:rsidR="0011102C" w:rsidRDefault="00B305B0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R&amp;I</w:t>
            </w:r>
          </w:p>
          <w:p w14:paraId="6E2432DD" w14:textId="3EBC6611" w:rsidR="0011102C" w:rsidRDefault="00B305B0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Rabobank</w:t>
            </w:r>
          </w:p>
          <w:p w14:paraId="757BD0A9" w14:textId="2F02D05F" w:rsidR="0011102C" w:rsidRDefault="00B305B0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RMB</w:t>
            </w:r>
          </w:p>
          <w:p w14:paraId="13B9456A" w14:textId="528EC1D0" w:rsidR="000B0DD7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="00B305B0">
              <w:rPr>
                <w:rFonts w:ascii="Calibri" w:hAnsi="Calibri" w:cs="Calibri"/>
                <w:sz w:val="22"/>
                <w:szCs w:val="22"/>
              </w:rPr>
              <w:t>antander</w:t>
            </w:r>
          </w:p>
          <w:p w14:paraId="18B588B6" w14:textId="6521502C" w:rsidR="000B0DD7" w:rsidRDefault="000B0DD7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="004E567A">
              <w:rPr>
                <w:rFonts w:ascii="Calibri" w:hAnsi="Calibri" w:cs="Calibri"/>
                <w:sz w:val="22"/>
                <w:szCs w:val="22"/>
              </w:rPr>
              <w:t>EB</w:t>
            </w:r>
          </w:p>
          <w:p w14:paraId="08141576" w14:textId="32323AC9" w:rsidR="004E567A" w:rsidRDefault="004E567A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SGCIB</w:t>
            </w:r>
          </w:p>
          <w:p w14:paraId="1F59E5E8" w14:textId="24766CD6" w:rsidR="004E567A" w:rsidRDefault="004E567A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Sidley Austin</w:t>
            </w:r>
          </w:p>
          <w:p w14:paraId="428FB00B" w14:textId="70B5D384" w:rsidR="004E567A" w:rsidRDefault="0038798A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Slaughter and May</w:t>
            </w:r>
          </w:p>
          <w:p w14:paraId="783E7100" w14:textId="31E07D95" w:rsidR="0038798A" w:rsidRDefault="0038798A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SMBC</w:t>
            </w:r>
          </w:p>
          <w:p w14:paraId="579740C0" w14:textId="0FBF39A6" w:rsidR="0038798A" w:rsidRDefault="0038798A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Standard Chartered</w:t>
            </w:r>
          </w:p>
          <w:p w14:paraId="1F9689E8" w14:textId="1CA147E7" w:rsidR="0038798A" w:rsidRDefault="0038798A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Swedbank</w:t>
            </w:r>
          </w:p>
          <w:p w14:paraId="7FBAB300" w14:textId="59CF4636" w:rsidR="000B0DD7" w:rsidRPr="0011102C" w:rsidRDefault="000B0DD7" w:rsidP="0038798A">
            <w:pPr>
              <w:pStyle w:val="ListParagraph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1102C" w14:paraId="28D557A1" w14:textId="77777777" w:rsidTr="0011102C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06C80775" w14:textId="77777777" w:rsidR="0011102C" w:rsidRPr="000B0DD7" w:rsidRDefault="0011102C" w:rsidP="000B0DD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42D2B778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1102C" w14:paraId="0549993D" w14:textId="77777777" w:rsidTr="0011102C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1B8F7795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69EB5C87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1102C" w14:paraId="5F752210" w14:textId="77777777" w:rsidTr="0011102C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738865BD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52B406C9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AA4A8A0" w14:textId="77777777" w:rsidR="00AF6249" w:rsidRPr="00665486" w:rsidRDefault="00AF6249" w:rsidP="00665486">
      <w:pPr>
        <w:jc w:val="both"/>
        <w:rPr>
          <w:rFonts w:ascii="Calibri" w:hAnsi="Calibri" w:cs="Calibri"/>
          <w:sz w:val="22"/>
          <w:szCs w:val="22"/>
        </w:rPr>
      </w:pPr>
    </w:p>
    <w:sectPr w:rsidR="00AF6249" w:rsidRPr="006654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04394"/>
    <w:multiLevelType w:val="hybridMultilevel"/>
    <w:tmpl w:val="7236E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F2475"/>
    <w:multiLevelType w:val="hybridMultilevel"/>
    <w:tmpl w:val="C5780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274261"/>
    <w:multiLevelType w:val="hybridMultilevel"/>
    <w:tmpl w:val="A672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E26AC"/>
    <w:multiLevelType w:val="hybridMultilevel"/>
    <w:tmpl w:val="43627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460C67"/>
    <w:multiLevelType w:val="hybridMultilevel"/>
    <w:tmpl w:val="DC427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035D2F"/>
    <w:multiLevelType w:val="multilevel"/>
    <w:tmpl w:val="4CF0E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A71BE2"/>
    <w:multiLevelType w:val="hybridMultilevel"/>
    <w:tmpl w:val="BA8E6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6096389">
    <w:abstractNumId w:val="4"/>
  </w:num>
  <w:num w:numId="2" w16cid:durableId="1021859992">
    <w:abstractNumId w:val="0"/>
  </w:num>
  <w:num w:numId="3" w16cid:durableId="678316553">
    <w:abstractNumId w:val="6"/>
  </w:num>
  <w:num w:numId="4" w16cid:durableId="113788346">
    <w:abstractNumId w:val="2"/>
  </w:num>
  <w:num w:numId="5" w16cid:durableId="1416518051">
    <w:abstractNumId w:val="1"/>
  </w:num>
  <w:num w:numId="6" w16cid:durableId="252324369">
    <w:abstractNumId w:val="5"/>
  </w:num>
  <w:num w:numId="7" w16cid:durableId="3344620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1C7"/>
    <w:rsid w:val="00081CC5"/>
    <w:rsid w:val="00084F84"/>
    <w:rsid w:val="00092A6E"/>
    <w:rsid w:val="000A016A"/>
    <w:rsid w:val="000A4F2B"/>
    <w:rsid w:val="000A52D2"/>
    <w:rsid w:val="000B0DD7"/>
    <w:rsid w:val="000B77BA"/>
    <w:rsid w:val="000F375D"/>
    <w:rsid w:val="001010E7"/>
    <w:rsid w:val="0011102C"/>
    <w:rsid w:val="00114BE7"/>
    <w:rsid w:val="00137F2F"/>
    <w:rsid w:val="00142876"/>
    <w:rsid w:val="00150BB7"/>
    <w:rsid w:val="00154902"/>
    <w:rsid w:val="001570B6"/>
    <w:rsid w:val="0016281E"/>
    <w:rsid w:val="00170953"/>
    <w:rsid w:val="001774AF"/>
    <w:rsid w:val="00186B0B"/>
    <w:rsid w:val="00194276"/>
    <w:rsid w:val="001A5F6A"/>
    <w:rsid w:val="001A683B"/>
    <w:rsid w:val="001B37F6"/>
    <w:rsid w:val="001E72FF"/>
    <w:rsid w:val="001F4F3F"/>
    <w:rsid w:val="002026AB"/>
    <w:rsid w:val="00204171"/>
    <w:rsid w:val="0020634D"/>
    <w:rsid w:val="002070B5"/>
    <w:rsid w:val="00251EF1"/>
    <w:rsid w:val="00270D44"/>
    <w:rsid w:val="00277F28"/>
    <w:rsid w:val="00280446"/>
    <w:rsid w:val="00295DC7"/>
    <w:rsid w:val="002C27B4"/>
    <w:rsid w:val="002D1A71"/>
    <w:rsid w:val="002D56D4"/>
    <w:rsid w:val="002E1820"/>
    <w:rsid w:val="002F1686"/>
    <w:rsid w:val="002F3B19"/>
    <w:rsid w:val="002F5B52"/>
    <w:rsid w:val="00305FCF"/>
    <w:rsid w:val="00312607"/>
    <w:rsid w:val="00320417"/>
    <w:rsid w:val="0032340F"/>
    <w:rsid w:val="00332224"/>
    <w:rsid w:val="00333DBA"/>
    <w:rsid w:val="00343D32"/>
    <w:rsid w:val="00344A11"/>
    <w:rsid w:val="00355C5C"/>
    <w:rsid w:val="003774DB"/>
    <w:rsid w:val="0038043E"/>
    <w:rsid w:val="0038798A"/>
    <w:rsid w:val="00397D84"/>
    <w:rsid w:val="003A5497"/>
    <w:rsid w:val="003C41C7"/>
    <w:rsid w:val="003C5DCE"/>
    <w:rsid w:val="003D1DFD"/>
    <w:rsid w:val="003D25E2"/>
    <w:rsid w:val="003D5A78"/>
    <w:rsid w:val="003F2D53"/>
    <w:rsid w:val="004030B4"/>
    <w:rsid w:val="00417C97"/>
    <w:rsid w:val="004254C5"/>
    <w:rsid w:val="0044726C"/>
    <w:rsid w:val="00452E0B"/>
    <w:rsid w:val="004617F3"/>
    <w:rsid w:val="00464B18"/>
    <w:rsid w:val="0047723B"/>
    <w:rsid w:val="0048110F"/>
    <w:rsid w:val="00493292"/>
    <w:rsid w:val="004A5B72"/>
    <w:rsid w:val="004C0348"/>
    <w:rsid w:val="004D3C6A"/>
    <w:rsid w:val="004E567A"/>
    <w:rsid w:val="00504BD5"/>
    <w:rsid w:val="005076BF"/>
    <w:rsid w:val="00511A8F"/>
    <w:rsid w:val="00520B02"/>
    <w:rsid w:val="0053724E"/>
    <w:rsid w:val="005410EA"/>
    <w:rsid w:val="00572BF4"/>
    <w:rsid w:val="00573027"/>
    <w:rsid w:val="005A2B41"/>
    <w:rsid w:val="005B51F1"/>
    <w:rsid w:val="005C53FC"/>
    <w:rsid w:val="005F6FFA"/>
    <w:rsid w:val="00601273"/>
    <w:rsid w:val="00613542"/>
    <w:rsid w:val="00644B56"/>
    <w:rsid w:val="00665486"/>
    <w:rsid w:val="00673312"/>
    <w:rsid w:val="006800D6"/>
    <w:rsid w:val="006B4014"/>
    <w:rsid w:val="006E7723"/>
    <w:rsid w:val="00700C34"/>
    <w:rsid w:val="0070534C"/>
    <w:rsid w:val="00721413"/>
    <w:rsid w:val="00723E09"/>
    <w:rsid w:val="00734A3C"/>
    <w:rsid w:val="00757A7F"/>
    <w:rsid w:val="00760E1E"/>
    <w:rsid w:val="00772414"/>
    <w:rsid w:val="007726C7"/>
    <w:rsid w:val="007728E9"/>
    <w:rsid w:val="007A3ED3"/>
    <w:rsid w:val="007C0158"/>
    <w:rsid w:val="007E0D68"/>
    <w:rsid w:val="007E60CE"/>
    <w:rsid w:val="00800D07"/>
    <w:rsid w:val="00801237"/>
    <w:rsid w:val="0082621C"/>
    <w:rsid w:val="00835BD5"/>
    <w:rsid w:val="00843C95"/>
    <w:rsid w:val="00850B67"/>
    <w:rsid w:val="00866566"/>
    <w:rsid w:val="00893449"/>
    <w:rsid w:val="008A32CC"/>
    <w:rsid w:val="008B6ABA"/>
    <w:rsid w:val="008B7F75"/>
    <w:rsid w:val="008C1445"/>
    <w:rsid w:val="008C639C"/>
    <w:rsid w:val="008D7241"/>
    <w:rsid w:val="008F11FF"/>
    <w:rsid w:val="008F41A0"/>
    <w:rsid w:val="008F58F5"/>
    <w:rsid w:val="00905ECC"/>
    <w:rsid w:val="009268B2"/>
    <w:rsid w:val="00953707"/>
    <w:rsid w:val="009538B1"/>
    <w:rsid w:val="00962662"/>
    <w:rsid w:val="00993734"/>
    <w:rsid w:val="009E0CD8"/>
    <w:rsid w:val="009F237E"/>
    <w:rsid w:val="009F2780"/>
    <w:rsid w:val="009F3DC7"/>
    <w:rsid w:val="009F627D"/>
    <w:rsid w:val="00A12E0F"/>
    <w:rsid w:val="00A13606"/>
    <w:rsid w:val="00A17509"/>
    <w:rsid w:val="00A86046"/>
    <w:rsid w:val="00AA2B1D"/>
    <w:rsid w:val="00AC63A7"/>
    <w:rsid w:val="00AE6005"/>
    <w:rsid w:val="00AF6249"/>
    <w:rsid w:val="00B012D3"/>
    <w:rsid w:val="00B01B92"/>
    <w:rsid w:val="00B11019"/>
    <w:rsid w:val="00B149C6"/>
    <w:rsid w:val="00B305B0"/>
    <w:rsid w:val="00B35E2D"/>
    <w:rsid w:val="00B45D4A"/>
    <w:rsid w:val="00B5216D"/>
    <w:rsid w:val="00B52FA6"/>
    <w:rsid w:val="00B530D6"/>
    <w:rsid w:val="00B532F7"/>
    <w:rsid w:val="00B85C16"/>
    <w:rsid w:val="00B864FD"/>
    <w:rsid w:val="00BA24A5"/>
    <w:rsid w:val="00BC022B"/>
    <w:rsid w:val="00BC37F1"/>
    <w:rsid w:val="00BC7DDE"/>
    <w:rsid w:val="00BD5801"/>
    <w:rsid w:val="00C125EF"/>
    <w:rsid w:val="00C15411"/>
    <w:rsid w:val="00C30E6C"/>
    <w:rsid w:val="00C362E3"/>
    <w:rsid w:val="00C5578F"/>
    <w:rsid w:val="00C55954"/>
    <w:rsid w:val="00C55D63"/>
    <w:rsid w:val="00C64669"/>
    <w:rsid w:val="00C70B90"/>
    <w:rsid w:val="00CA22A8"/>
    <w:rsid w:val="00CB2C56"/>
    <w:rsid w:val="00D06CBB"/>
    <w:rsid w:val="00D131A2"/>
    <w:rsid w:val="00D16CC9"/>
    <w:rsid w:val="00D17338"/>
    <w:rsid w:val="00D42E07"/>
    <w:rsid w:val="00D5505D"/>
    <w:rsid w:val="00D57900"/>
    <w:rsid w:val="00D76C53"/>
    <w:rsid w:val="00DA129F"/>
    <w:rsid w:val="00DA44AD"/>
    <w:rsid w:val="00DA5F23"/>
    <w:rsid w:val="00DD1513"/>
    <w:rsid w:val="00DF2719"/>
    <w:rsid w:val="00DF2A74"/>
    <w:rsid w:val="00E172AE"/>
    <w:rsid w:val="00E251F2"/>
    <w:rsid w:val="00E30B14"/>
    <w:rsid w:val="00E54E3A"/>
    <w:rsid w:val="00E766E7"/>
    <w:rsid w:val="00E843EF"/>
    <w:rsid w:val="00E86EFD"/>
    <w:rsid w:val="00E9548F"/>
    <w:rsid w:val="00EB05F5"/>
    <w:rsid w:val="00EB103D"/>
    <w:rsid w:val="00EC1626"/>
    <w:rsid w:val="00EC55E2"/>
    <w:rsid w:val="00ED6025"/>
    <w:rsid w:val="00ED748A"/>
    <w:rsid w:val="00EF1DA6"/>
    <w:rsid w:val="00EF2F34"/>
    <w:rsid w:val="00F0658E"/>
    <w:rsid w:val="00F45A81"/>
    <w:rsid w:val="00F47F51"/>
    <w:rsid w:val="00F5270A"/>
    <w:rsid w:val="00F83C90"/>
    <w:rsid w:val="00FD6707"/>
    <w:rsid w:val="00FE53CE"/>
    <w:rsid w:val="00FE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FF498"/>
  <w15:chartTrackingRefBased/>
  <w15:docId w15:val="{A7151B1E-F7B1-44E9-9ACF-7F334D29B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41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41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41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41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41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41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41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41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41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41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41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41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41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41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41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41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41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41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41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41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41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41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41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41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41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41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41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41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41C7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DA44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44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44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44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44A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97D8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7D8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110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589D1C8AAA4B40AC79A95DA69744F8" ma:contentTypeVersion="13" ma:contentTypeDescription="Create a new document." ma:contentTypeScope="" ma:versionID="e8b2f767b1ef501d2fd8a7aa2463ea39">
  <xsd:schema xmlns:xsd="http://www.w3.org/2001/XMLSchema" xmlns:xs="http://www.w3.org/2001/XMLSchema" xmlns:p="http://schemas.microsoft.com/office/2006/metadata/properties" xmlns:ns2="cff93c46-e19e-4986-bf1d-c960c557e71f" xmlns:ns3="1aeb3977-3fca-48f6-bf3b-18c09fd8c59a" targetNamespace="http://schemas.microsoft.com/office/2006/metadata/properties" ma:root="true" ma:fieldsID="092864ea555e3ab73ebc057121d93cf4" ns2:_="" ns3:_="">
    <xsd:import namespace="cff93c46-e19e-4986-bf1d-c960c557e71f"/>
    <xsd:import namespace="1aeb3977-3fca-48f6-bf3b-18c09fd8c5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93c46-e19e-4986-bf1d-c960c557e7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db2f9b0-b332-4975-aaa8-423b2e32f0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b3977-3fca-48f6-bf3b-18c09fd8c59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fa045e1-b82d-4541-bd61-1878df7221e3}" ma:internalName="TaxCatchAll" ma:showField="CatchAllData" ma:web="1aeb3977-3fca-48f6-bf3b-18c09fd8c5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eb3977-3fca-48f6-bf3b-18c09fd8c59a" xsi:nil="true"/>
    <lcf76f155ced4ddcb4097134ff3c332f xmlns="cff93c46-e19e-4986-bf1d-c960c557e71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DC7F83-05FF-4E10-BBEE-9821F5CC65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93c46-e19e-4986-bf1d-c960c557e71f"/>
    <ds:schemaRef ds:uri="1aeb3977-3fca-48f6-bf3b-18c09fd8c5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F33EB5-6103-4337-928F-D42E59E2A5E0}">
  <ds:schemaRefs>
    <ds:schemaRef ds:uri="http://schemas.microsoft.com/office/2006/metadata/properties"/>
    <ds:schemaRef ds:uri="http://schemas.microsoft.com/office/infopath/2007/PartnerControls"/>
    <ds:schemaRef ds:uri="1aeb3977-3fca-48f6-bf3b-18c09fd8c59a"/>
    <ds:schemaRef ds:uri="cff93c46-e19e-4986-bf1d-c960c557e71f"/>
  </ds:schemaRefs>
</ds:datastoreItem>
</file>

<file path=customXml/itemProps3.xml><?xml version="1.0" encoding="utf-8"?>
<ds:datastoreItem xmlns:ds="http://schemas.openxmlformats.org/officeDocument/2006/customXml" ds:itemID="{65AEC390-682C-407B-A70B-CDFEA78860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1675</Characters>
  <Application>Microsoft Office Word</Application>
  <DocSecurity>0</DocSecurity>
  <Lines>83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Vuckovic-Kihlstrom</dc:creator>
  <cp:keywords/>
  <dc:description/>
  <cp:lastModifiedBy>Oskar Vuckovic-Kihlstrom</cp:lastModifiedBy>
  <cp:revision>100</cp:revision>
  <dcterms:created xsi:type="dcterms:W3CDTF">2026-06-11T14:56:00Z</dcterms:created>
  <dcterms:modified xsi:type="dcterms:W3CDTF">2026-06-12T14:24:00Z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Lang">
    <vt:lpwstr>en</vt:lpwstr>
  </property>
  <property fmtid="{D5CDD505-2E9C-101B-9397-08002B2CF9AE}" pid="3" name="ContentTypeId">
    <vt:lpwstr>0x010100A2589D1C8AAA4B40AC79A95DA69744F8</vt:lpwstr>
  </property>
  <property fmtid="{D5CDD505-2E9C-101B-9397-08002B2CF9AE}" pid="4" name="MediaServiceImageTags">
    <vt:lpwstr/>
  </property>
</Properties>
</file>