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58AC1" w14:textId="6217FFED" w:rsidR="00D13693" w:rsidRDefault="00B84839" w:rsidP="002925BD">
      <w:pPr>
        <w:spacing w:after="216" w:line="259" w:lineRule="auto"/>
        <w:ind w:right="1"/>
        <w:jc w:val="right"/>
      </w:pPr>
      <w:r>
        <w:rPr>
          <w:i/>
          <w:iCs/>
          <w:noProof/>
        </w:rPr>
        <w:drawing>
          <wp:anchor distT="0" distB="0" distL="114300" distR="114300" simplePos="0" relativeHeight="251659264" behindDoc="0" locked="0" layoutInCell="1" allowOverlap="1" wp14:anchorId="3EB5ACF8" wp14:editId="049BE05D">
            <wp:simplePos x="0" y="0"/>
            <wp:positionH relativeFrom="margin">
              <wp:align>left</wp:align>
            </wp:positionH>
            <wp:positionV relativeFrom="paragraph">
              <wp:posOffset>0</wp:posOffset>
            </wp:positionV>
            <wp:extent cx="2096135" cy="61912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r="67926"/>
                    <a:stretch>
                      <a:fillRect/>
                    </a:stretch>
                  </pic:blipFill>
                  <pic:spPr bwMode="auto">
                    <a:xfrm>
                      <a:off x="0" y="0"/>
                      <a:ext cx="209613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C75FB">
        <w:rPr>
          <w:noProof/>
        </w:rPr>
        <w:t>20</w:t>
      </w:r>
      <w:r w:rsidR="002925BD">
        <w:t xml:space="preserve"> May 2022</w:t>
      </w:r>
    </w:p>
    <w:p w14:paraId="2BB0EB7F" w14:textId="0E70F8A5" w:rsidR="00D13693" w:rsidRPr="00F55482" w:rsidRDefault="00D13693" w:rsidP="00F5521A">
      <w:pPr>
        <w:spacing w:after="0"/>
        <w:ind w:left="0" w:firstLine="0"/>
      </w:pPr>
      <w:r w:rsidRPr="00F55482">
        <w:t>Mairead McGuinness</w:t>
      </w:r>
    </w:p>
    <w:p w14:paraId="6198B447" w14:textId="57FB1E57" w:rsidR="008B2EB0" w:rsidRDefault="008B2EB0" w:rsidP="00F5521A">
      <w:pPr>
        <w:spacing w:after="0"/>
        <w:ind w:left="0" w:firstLine="0"/>
      </w:pPr>
      <w:r w:rsidRPr="00F55482">
        <w:t>Commissioner for Financial Services, Financial Stability and Capital Markets Union</w:t>
      </w:r>
    </w:p>
    <w:p w14:paraId="26400F52" w14:textId="2C4C3F35" w:rsidR="004C4DA1" w:rsidRPr="00F55482" w:rsidRDefault="004C4DA1" w:rsidP="00F5521A">
      <w:pPr>
        <w:spacing w:after="0"/>
        <w:ind w:left="0" w:firstLine="0"/>
      </w:pPr>
      <w:r w:rsidRPr="00F55482">
        <w:t>European</w:t>
      </w:r>
      <w:r>
        <w:t xml:space="preserve"> Commission</w:t>
      </w:r>
    </w:p>
    <w:p w14:paraId="60253CBC" w14:textId="456F3858" w:rsidR="00F5521A" w:rsidRPr="00F55482" w:rsidRDefault="008B2EB0" w:rsidP="00F5521A">
      <w:pPr>
        <w:spacing w:after="0"/>
        <w:ind w:left="0" w:firstLine="0"/>
      </w:pPr>
      <w:r w:rsidRPr="00F55482">
        <w:t xml:space="preserve">Rue de la </w:t>
      </w:r>
      <w:proofErr w:type="spellStart"/>
      <w:r w:rsidRPr="00F55482">
        <w:t>Loi</w:t>
      </w:r>
      <w:proofErr w:type="spellEnd"/>
      <w:r w:rsidR="006E7818">
        <w:t xml:space="preserve"> / </w:t>
      </w:r>
      <w:proofErr w:type="spellStart"/>
      <w:r w:rsidR="00F5521A" w:rsidRPr="00F55482">
        <w:t>Westraat</w:t>
      </w:r>
      <w:proofErr w:type="spellEnd"/>
      <w:r w:rsidR="00F5521A" w:rsidRPr="00F55482">
        <w:t xml:space="preserve"> 200,</w:t>
      </w:r>
    </w:p>
    <w:p w14:paraId="62014333" w14:textId="30C07EFB" w:rsidR="00F5521A" w:rsidRPr="00F55482" w:rsidRDefault="00F5521A" w:rsidP="00F5521A">
      <w:pPr>
        <w:spacing w:after="0"/>
        <w:ind w:left="0" w:firstLine="0"/>
      </w:pPr>
      <w:r w:rsidRPr="00F55482">
        <w:t>1049</w:t>
      </w:r>
      <w:r w:rsidR="00B3495F">
        <w:t xml:space="preserve"> </w:t>
      </w:r>
      <w:r w:rsidRPr="00F55482">
        <w:t>Brussels,</w:t>
      </w:r>
    </w:p>
    <w:p w14:paraId="6FE108B8" w14:textId="7AF1B811" w:rsidR="00F5521A" w:rsidRPr="00F55482" w:rsidRDefault="00F5521A" w:rsidP="00D13693">
      <w:pPr>
        <w:ind w:left="0" w:firstLine="0"/>
      </w:pPr>
      <w:r w:rsidRPr="00F55482">
        <w:t>Belgium</w:t>
      </w:r>
    </w:p>
    <w:p w14:paraId="515A7889" w14:textId="7DCC6633" w:rsidR="00A972DF" w:rsidRDefault="00A972DF" w:rsidP="00D13693">
      <w:pPr>
        <w:ind w:left="0" w:firstLine="0"/>
      </w:pPr>
      <w:r>
        <w:t xml:space="preserve">Dear </w:t>
      </w:r>
      <w:r w:rsidR="00224F98">
        <w:t>Commissioner</w:t>
      </w:r>
      <w:r>
        <w:t xml:space="preserve"> McGuinness,</w:t>
      </w:r>
    </w:p>
    <w:p w14:paraId="34EFED9B" w14:textId="1B199FBF" w:rsidR="00EB3E99" w:rsidRPr="00EB3E99" w:rsidRDefault="00526E17" w:rsidP="00D13693">
      <w:pPr>
        <w:ind w:left="0" w:firstLine="0"/>
        <w:rPr>
          <w:b/>
          <w:bCs/>
        </w:rPr>
      </w:pPr>
      <w:r>
        <w:rPr>
          <w:b/>
          <w:bCs/>
        </w:rPr>
        <w:t>Propo</w:t>
      </w:r>
      <w:r w:rsidR="00101DF5">
        <w:rPr>
          <w:b/>
          <w:bCs/>
        </w:rPr>
        <w:t>sed amendments to the Capital Requirements Directive ("CRD6") contained in the</w:t>
      </w:r>
      <w:r w:rsidR="0066673D">
        <w:rPr>
          <w:b/>
          <w:bCs/>
        </w:rPr>
        <w:t xml:space="preserve"> </w:t>
      </w:r>
      <w:r w:rsidR="00EB3E99">
        <w:rPr>
          <w:b/>
          <w:bCs/>
        </w:rPr>
        <w:t xml:space="preserve">2021 Banking </w:t>
      </w:r>
      <w:r w:rsidR="0066673D">
        <w:rPr>
          <w:b/>
          <w:bCs/>
        </w:rPr>
        <w:t>Package</w:t>
      </w:r>
      <w:r w:rsidR="00EB3E99">
        <w:rPr>
          <w:b/>
          <w:bCs/>
        </w:rPr>
        <w:t xml:space="preserve"> </w:t>
      </w:r>
    </w:p>
    <w:p w14:paraId="3D4742ED" w14:textId="1901AA51" w:rsidR="00D13693" w:rsidRDefault="00D13693" w:rsidP="00D13693">
      <w:pPr>
        <w:ind w:left="0" w:firstLine="0"/>
      </w:pPr>
      <w:r>
        <w:t xml:space="preserve">The </w:t>
      </w:r>
      <w:r w:rsidR="00DC21BF">
        <w:t>Loan Market Association</w:t>
      </w:r>
      <w:r w:rsidR="00B662CB">
        <w:rPr>
          <w:rStyle w:val="FootnoteReference"/>
        </w:rPr>
        <w:footnoteReference w:id="1"/>
      </w:r>
      <w:r w:rsidR="00DC21BF">
        <w:t xml:space="preserve"> ("</w:t>
      </w:r>
      <w:r w:rsidRPr="00DC21BF">
        <w:rPr>
          <w:b/>
          <w:bCs/>
        </w:rPr>
        <w:t>LMA</w:t>
      </w:r>
      <w:r w:rsidR="00DC21BF">
        <w:t>")</w:t>
      </w:r>
      <w:r>
        <w:t xml:space="preserve"> is concerned that the legislative proposal contained in the 2021 Banking Package to amend CRD6 would have a very negative effect on the EU loan markets. These markets are wholesale markets, in which large banks lend substantial sums to </w:t>
      </w:r>
      <w:r w:rsidR="00AC5C04">
        <w:t xml:space="preserve">largely corporate </w:t>
      </w:r>
      <w:r>
        <w:t xml:space="preserve">borrowers, and as a result the regulatory approach taken to date around the world has been facilitative. This has produced a large, global market whose simplicity and interconnectivity has enabled the raising of enormous amounts of capital to fund economic and social development. The </w:t>
      </w:r>
      <w:r w:rsidRPr="00922A50">
        <w:t>placing of regulatory obstacles to this market</w:t>
      </w:r>
      <w:r w:rsidR="00922A50" w:rsidRPr="00922A50">
        <w:t xml:space="preserve"> (</w:t>
      </w:r>
      <w:r w:rsidR="00B2599C" w:rsidRPr="00922A50">
        <w:t xml:space="preserve">the size of which in the EU </w:t>
      </w:r>
      <w:r w:rsidR="002C42F3">
        <w:t>was</w:t>
      </w:r>
      <w:r w:rsidR="00B2599C" w:rsidRPr="00922A50">
        <w:t xml:space="preserve"> </w:t>
      </w:r>
      <w:r w:rsidR="00922A50" w:rsidRPr="00922A50">
        <w:t>€</w:t>
      </w:r>
      <w:r w:rsidR="00B2599C" w:rsidRPr="00922A50">
        <w:t>732.17 billion</w:t>
      </w:r>
      <w:r w:rsidR="00B75957" w:rsidRPr="00922A50">
        <w:rPr>
          <w:rStyle w:val="FootnoteReference"/>
        </w:rPr>
        <w:footnoteReference w:id="2"/>
      </w:r>
      <w:r w:rsidR="002C42F3">
        <w:t xml:space="preserve"> in 2021</w:t>
      </w:r>
      <w:r w:rsidR="00922A50" w:rsidRPr="00922A50">
        <w:t>)</w:t>
      </w:r>
      <w:r w:rsidR="00C870A8" w:rsidRPr="00922A50">
        <w:t>,</w:t>
      </w:r>
      <w:r w:rsidRPr="00922A50">
        <w:t xml:space="preserve"> a</w:t>
      </w:r>
      <w:r>
        <w:t xml:space="preserve">s envisaged in CRD6, could do significant harm to the markets, to lenders and to borrowers. This is why such measures are not in place in the UK, Switzerland, the US and many other jurisdictions. By contrast, we are unable to see any benefit either to customers, to lenders or to the EU as a whole deriving from these proposals. </w:t>
      </w:r>
    </w:p>
    <w:p w14:paraId="1D6BE453" w14:textId="66CF7C4C" w:rsidR="00D13693" w:rsidRDefault="00D13693" w:rsidP="00D13693">
      <w:pPr>
        <w:ind w:left="0" w:firstLine="0"/>
        <w:rPr>
          <w:color w:val="000000" w:themeColor="text1"/>
          <w:szCs w:val="24"/>
        </w:rPr>
      </w:pPr>
      <w:r>
        <w:t>The CRD6 legislative proposal would add a new Article 21c to the Capital Requirements Directive (</w:t>
      </w:r>
      <w:hyperlink r:id="rId13">
        <w:r w:rsidRPr="0E9E8489">
          <w:rPr>
            <w:color w:val="0000FF"/>
            <w:u w:val="single"/>
          </w:rPr>
          <w:t>CRD</w:t>
        </w:r>
      </w:hyperlink>
      <w:hyperlink r:id="rId14">
        <w:r>
          <w:t>)</w:t>
        </w:r>
      </w:hyperlink>
      <w:r>
        <w:t xml:space="preserve"> prohibiting third-country undertakings from carrying on any of the activities listed in Annex I CRD in a Member State (otherwise than on a reverse solicitation basis) without establishing a branch in that Member State. Member States will be required to establish an authorisation regime for such branches under a new Title VI CRD. There are a number of problems with the drafting of the relevant articles, which do not appear to us to have been thought through – Appendix 1 to this letter identifies some of the detailed considerations which the drafting raises. However, the body of the letter addresses the policy behind the proposal. </w:t>
      </w:r>
    </w:p>
    <w:p w14:paraId="4F22F5D4" w14:textId="77777777" w:rsidR="00D13693" w:rsidRDefault="00D13693" w:rsidP="00D13693">
      <w:pPr>
        <w:ind w:left="0" w:firstLine="0"/>
        <w:rPr>
          <w:color w:val="000000" w:themeColor="text1"/>
          <w:szCs w:val="24"/>
        </w:rPr>
      </w:pPr>
      <w:r>
        <w:t>The structure of this requirement appears to confuse the purpose of Annex I to the CRD with the purpose of Annex I to the Markets in Financial Instruments Directive (“</w:t>
      </w:r>
      <w:r w:rsidRPr="00013075">
        <w:rPr>
          <w:b/>
          <w:bCs/>
        </w:rPr>
        <w:t>MiFID</w:t>
      </w:r>
      <w:r>
        <w:t xml:space="preserve">”). Annex I of MiFID sets out a list of the activities which member states </w:t>
      </w:r>
      <w:r w:rsidRPr="0E9E8489">
        <w:rPr>
          <w:i/>
          <w:iCs/>
        </w:rPr>
        <w:t>must</w:t>
      </w:r>
      <w:r>
        <w:t xml:space="preserve"> regulate. Annex I to CRD (apart from item 1) lists activities which member states </w:t>
      </w:r>
      <w:r w:rsidRPr="0E9E8489">
        <w:rPr>
          <w:i/>
          <w:iCs/>
        </w:rPr>
        <w:t>may</w:t>
      </w:r>
      <w:r>
        <w:t xml:space="preserve"> regulate. The position as regards regulation of these activities varies from state to state. In particular, some member states </w:t>
      </w:r>
      <w:r>
        <w:lastRenderedPageBreak/>
        <w:t xml:space="preserve">regulate non-consumer lending, but others do not. Appendix 2 to this letter sets out an illustrative map of the actual authorisation status across some major EU jurisdictions. However, it should be noted that even in jurisdictions where Annex I activities are regulated, there is very often a local licencing or exemptive power which the member state uses to exempt some or all of the participants in that market in that jurisdiction from regulatory requirements. Countries such as the UK, which do not regulate non-consumer lending at all, are the exception rather than the rule. However in many countries there are exemptions and exclusions designed to ensure that banks established in other jurisdictions can lend to local businesses. </w:t>
      </w:r>
    </w:p>
    <w:p w14:paraId="0B3DB044" w14:textId="77777777" w:rsidR="00D13693" w:rsidRDefault="00D13693" w:rsidP="00D13693">
      <w:pPr>
        <w:ind w:left="0" w:firstLine="0"/>
        <w:rPr>
          <w:color w:val="000000" w:themeColor="text1"/>
          <w:szCs w:val="24"/>
        </w:rPr>
      </w:pPr>
      <w:r>
        <w:t>By imposing requirements on all non-EU firms in respect of all of the activities listed in Annex I to the CRD, the proposal is in effect imposing a regulatory requirement on non-EU firms in respect of activities which are not regulated within the EU, and pre-empting local regulatory decisions and local exemptive reliefs in member states.  The logic of this approach is unclear.</w:t>
      </w:r>
    </w:p>
    <w:p w14:paraId="589FE9E8" w14:textId="77777777" w:rsidR="00D13693" w:rsidRPr="00C61BB4" w:rsidRDefault="00D13693" w:rsidP="00D13693">
      <w:pPr>
        <w:ind w:left="0" w:firstLine="0"/>
        <w:rPr>
          <w:color w:val="000000" w:themeColor="text1"/>
          <w:szCs w:val="24"/>
          <w:u w:val="single"/>
        </w:rPr>
      </w:pPr>
      <w:r w:rsidRPr="00C61BB4">
        <w:rPr>
          <w:color w:val="000000" w:themeColor="text1"/>
          <w:szCs w:val="24"/>
          <w:u w:val="single"/>
        </w:rPr>
        <w:t>Problems for loan syndication</w:t>
      </w:r>
    </w:p>
    <w:p w14:paraId="09DD54E2" w14:textId="77777777" w:rsidR="00D13693" w:rsidRDefault="00D13693" w:rsidP="00D13693">
      <w:pPr>
        <w:ind w:left="0" w:firstLine="0"/>
        <w:rPr>
          <w:color w:val="000000" w:themeColor="text1"/>
          <w:szCs w:val="24"/>
        </w:rPr>
      </w:pPr>
      <w:r>
        <w:t>A further issue arises with respect to the nature of the primary loan market. The process of syndication is roughly as follows. The borrower will usually ask potential lenders to bid to arrange the loan, with the mandate being awarded to the party/</w:t>
      </w:r>
      <w:proofErr w:type="spellStart"/>
      <w:r>
        <w:t>ies</w:t>
      </w:r>
      <w:proofErr w:type="spellEnd"/>
      <w:r>
        <w:t xml:space="preserve"> offering the most competitive terms (the "</w:t>
      </w:r>
      <w:r w:rsidRPr="00013075">
        <w:rPr>
          <w:b/>
          <w:bCs/>
        </w:rPr>
        <w:t>Mandated lead Arranger(s)</w:t>
      </w:r>
      <w:r w:rsidRPr="00013075">
        <w:t>",</w:t>
      </w:r>
      <w:r>
        <w:t xml:space="preserve"> or "</w:t>
      </w:r>
      <w:r w:rsidRPr="00013075">
        <w:rPr>
          <w:b/>
          <w:bCs/>
        </w:rPr>
        <w:t>MLA</w:t>
      </w:r>
      <w:r>
        <w:t xml:space="preserve">"). They will be paid an arrangement fee, out of which all other fees are paid to lenders who will join the syndicate. Some finance – notably acquisition finance - is formally underwritten, whereas other syndicates are put together on a best efforts basis. It is then for the MLA to syndicate the facility to other banks. Typical structures vary according to the financial strength of the borrower – thus very highly rated borrowers may build a "club" of banks with whom they deal as required, whereas lower rated borrowers may require significant assistance from a MLA to secure financing. </w:t>
      </w:r>
    </w:p>
    <w:p w14:paraId="0B0E0F49" w14:textId="77777777" w:rsidR="00D13693" w:rsidRDefault="00D13693" w:rsidP="00D13693">
      <w:pPr>
        <w:ind w:left="0" w:firstLine="0"/>
        <w:rPr>
          <w:color w:val="000000" w:themeColor="text1"/>
          <w:szCs w:val="24"/>
        </w:rPr>
      </w:pPr>
      <w:r>
        <w:t>It is almost impossible to fit this architecture into the framework set out in the proposed CRD6 draft. In particular, where a bank which is mandated as MLA contacts other banks, is that contact capable of being regarded as being at the exclusive initiative of the borrower? If not, does this mean that only banks who have a branch in the home territory of the borrower may be members of a syndicate lending to that borrower? Further, since the initiation of the arrangement with the MLA is likely to have arisen as part of an auction process, does the fact that the MLA has bid in that auction mean that his appointment is not the result of an "exclusive initiative" of the borrower?</w:t>
      </w:r>
    </w:p>
    <w:p w14:paraId="356D2B4D" w14:textId="77777777" w:rsidR="00D13693" w:rsidRDefault="00D13693" w:rsidP="00D13693">
      <w:pPr>
        <w:ind w:left="0" w:firstLine="0"/>
        <w:rPr>
          <w:color w:val="000000" w:themeColor="text1"/>
          <w:szCs w:val="24"/>
        </w:rPr>
      </w:pPr>
      <w:r>
        <w:t xml:space="preserve">More significantly, it should be asked what part of the existing process is regarded by the authorities as dangerous, uncertain or otherwise requiring regulation. As regards the loan market, it is almost impossible to identify what the problem is which this regulation is intended to address. </w:t>
      </w:r>
    </w:p>
    <w:p w14:paraId="38230343" w14:textId="77777777" w:rsidR="00D13693" w:rsidRPr="00C61BB4" w:rsidRDefault="00D13693" w:rsidP="00D13693">
      <w:pPr>
        <w:ind w:left="0" w:firstLine="0"/>
        <w:rPr>
          <w:color w:val="000000" w:themeColor="text1"/>
          <w:szCs w:val="24"/>
          <w:u w:val="single"/>
        </w:rPr>
      </w:pPr>
      <w:r w:rsidRPr="00C61BB4">
        <w:rPr>
          <w:color w:val="000000" w:themeColor="text1"/>
          <w:szCs w:val="24"/>
          <w:u w:val="single"/>
        </w:rPr>
        <w:t>Problems for the loan market</w:t>
      </w:r>
    </w:p>
    <w:p w14:paraId="3240F676" w14:textId="77777777" w:rsidR="00D13693" w:rsidRDefault="00D13693" w:rsidP="00D13693">
      <w:pPr>
        <w:ind w:left="0" w:firstLine="0"/>
        <w:rPr>
          <w:color w:val="000000" w:themeColor="text1"/>
          <w:szCs w:val="24"/>
        </w:rPr>
      </w:pPr>
      <w:r>
        <w:t>These difficulties become more acute when we turn to the secondary markets. The existence of the secondary market in loan assets is an important part of the loan finance ecosystem, and is generally credited as being an important contributor to its stability and robustness.</w:t>
      </w:r>
    </w:p>
    <w:p w14:paraId="013BCD89" w14:textId="77777777" w:rsidR="00D13693" w:rsidRDefault="00D13693" w:rsidP="00D13693">
      <w:pPr>
        <w:ind w:left="0" w:firstLine="0"/>
        <w:rPr>
          <w:color w:val="000000" w:themeColor="text1"/>
          <w:szCs w:val="24"/>
        </w:rPr>
      </w:pPr>
      <w:r>
        <w:t>In general, the regulation of the secondary market in loans is done through a prism of primary market regulation. In particular, a purchaser of a loan in the secondary market is treated as if they have become a lender to the initial borrower. Thus, for example, in judgment No. 12777/2019 published on 22 March 2019 (the "</w:t>
      </w:r>
      <w:r w:rsidRPr="00013075">
        <w:rPr>
          <w:b/>
          <w:bCs/>
        </w:rPr>
        <w:t>IBLOR Judgment</w:t>
      </w:r>
      <w:r>
        <w:t xml:space="preserve">"), the Fifth Criminal Section of Italy's Supreme Court of Cassation held that in some cases the acquisition by a </w:t>
      </w:r>
      <w:r>
        <w:lastRenderedPageBreak/>
        <w:t>foreign bank of a loan made by an Italian bank to an Italian borrower could be a breach of Italian law by the foreign bank, since the acquisition of the loan interest by it constituted lending to an Italian borrower in Italy. If this judgement accurately reflects EU law, then non-EU investors would be unable to acquire loans to EU borrowers in the secondary market unless they satisfied the local criteria for lending to that particular borrower. We believe this would strongly disincentivise investment in loans to EU borrowers; a development which would necessarily increase the cost of funding to those borrowers.</w:t>
      </w:r>
    </w:p>
    <w:p w14:paraId="6E48AAE0" w14:textId="77777777" w:rsidR="00D13693" w:rsidRPr="00C61BB4" w:rsidRDefault="00D13693" w:rsidP="00D13693">
      <w:pPr>
        <w:ind w:left="0" w:firstLine="0"/>
        <w:rPr>
          <w:color w:val="000000" w:themeColor="text1"/>
          <w:szCs w:val="24"/>
          <w:u w:val="single"/>
        </w:rPr>
      </w:pPr>
      <w:r w:rsidRPr="00C61BB4">
        <w:rPr>
          <w:color w:val="000000" w:themeColor="text1"/>
          <w:szCs w:val="24"/>
          <w:u w:val="single"/>
        </w:rPr>
        <w:t>Problems for borrowers</w:t>
      </w:r>
    </w:p>
    <w:p w14:paraId="74D056B9" w14:textId="2B299BC9" w:rsidR="00D13693" w:rsidRDefault="00D13693" w:rsidP="00D13693">
      <w:pPr>
        <w:ind w:left="0" w:firstLine="0"/>
        <w:rPr>
          <w:color w:val="000000" w:themeColor="text1"/>
          <w:szCs w:val="24"/>
        </w:rPr>
      </w:pPr>
      <w:r>
        <w:t>The proposal also creates significant difficulties for borrower</w:t>
      </w:r>
      <w:r w:rsidR="00E20415">
        <w:t>s</w:t>
      </w:r>
      <w:r>
        <w:t xml:space="preserve"> as regards group financing. Very few of the borrowers who are active in the loan markets will operate exclusively in a single jurisdiction, and the bulk of the global loan markets involves borrowers who are groups with operations in multiple jurisdictions. Loan facilities for global corporates frequently provide that any member of a group may draw down on a facility arranged at group level. How would this provision be applied to the EU subsidiary of a US group who had arranged a loan facility at group level under which a number of group members, including the EU entity, could draw down? Even more importantly, because the proposal does not have any of the normal exemptions, an EU subsidiary which raised finance from its own parent outside the EU would potentially place that parent in breach of this requirement.</w:t>
      </w:r>
    </w:p>
    <w:p w14:paraId="779BEC9E" w14:textId="77777777" w:rsidR="00D13693" w:rsidRPr="00C61BB4" w:rsidRDefault="00D13693" w:rsidP="00D13693">
      <w:pPr>
        <w:ind w:left="0" w:firstLine="0"/>
        <w:rPr>
          <w:color w:val="000000" w:themeColor="text1"/>
          <w:szCs w:val="24"/>
          <w:u w:val="single"/>
        </w:rPr>
      </w:pPr>
      <w:r w:rsidRPr="00C61BB4">
        <w:rPr>
          <w:color w:val="000000" w:themeColor="text1"/>
          <w:szCs w:val="24"/>
          <w:u w:val="single"/>
        </w:rPr>
        <w:t>Conclusion</w:t>
      </w:r>
    </w:p>
    <w:p w14:paraId="2F76649F" w14:textId="458D101D" w:rsidR="0002151A" w:rsidRDefault="00D13693" w:rsidP="00D13693">
      <w:pPr>
        <w:ind w:left="0" w:firstLine="0"/>
        <w:rPr>
          <w:color w:val="000000" w:themeColor="text1"/>
          <w:szCs w:val="24"/>
        </w:rPr>
      </w:pPr>
      <w:r w:rsidRPr="0E9E8489">
        <w:rPr>
          <w:color w:val="000000" w:themeColor="text1"/>
          <w:szCs w:val="24"/>
        </w:rPr>
        <w:t>We believe that the wholesale loan markets would be significantly adversely affected</w:t>
      </w:r>
      <w:r w:rsidR="005B35AA">
        <w:rPr>
          <w:color w:val="000000" w:themeColor="text1"/>
          <w:szCs w:val="24"/>
        </w:rPr>
        <w:t xml:space="preserve">, and as a result EU </w:t>
      </w:r>
      <w:r w:rsidR="00A10311">
        <w:rPr>
          <w:color w:val="000000" w:themeColor="text1"/>
          <w:szCs w:val="24"/>
        </w:rPr>
        <w:t xml:space="preserve">corporate </w:t>
      </w:r>
      <w:r w:rsidR="005B35AA">
        <w:rPr>
          <w:color w:val="000000" w:themeColor="text1"/>
          <w:szCs w:val="24"/>
        </w:rPr>
        <w:t>borrowers damaged,</w:t>
      </w:r>
      <w:r w:rsidRPr="0E9E8489">
        <w:rPr>
          <w:color w:val="000000" w:themeColor="text1"/>
          <w:szCs w:val="24"/>
        </w:rPr>
        <w:t xml:space="preserve"> by these proposals. We would therefore suggest that non-consumer lending should be exempted from their operation. </w:t>
      </w:r>
      <w:r w:rsidR="00147C13">
        <w:rPr>
          <w:color w:val="000000" w:themeColor="text1"/>
          <w:szCs w:val="24"/>
        </w:rPr>
        <w:t xml:space="preserve">We would welcome the opportunity to meet with you to discuss our concerns and to assist you in any way we can. </w:t>
      </w:r>
      <w:r w:rsidR="0002151A">
        <w:t xml:space="preserve">If we can be of any further assistance, please do not hesitate to contact the undersigned by email at </w:t>
      </w:r>
      <w:hyperlink r:id="rId15" w:history="1">
        <w:r w:rsidR="0002151A" w:rsidRPr="00521507">
          <w:rPr>
            <w:rStyle w:val="Hyperlink"/>
          </w:rPr>
          <w:t>n</w:t>
        </w:r>
        <w:r w:rsidR="0002151A" w:rsidRPr="00A00CFF">
          <w:rPr>
            <w:rStyle w:val="Hyperlink"/>
          </w:rPr>
          <w:t>icholas.v</w:t>
        </w:r>
        <w:r w:rsidR="0002151A" w:rsidRPr="001955B8">
          <w:rPr>
            <w:rStyle w:val="Hyperlink"/>
          </w:rPr>
          <w:t>oisey@lma.eu.com</w:t>
        </w:r>
      </w:hyperlink>
      <w:r w:rsidR="0002151A">
        <w:t xml:space="preserve"> or </w:t>
      </w:r>
      <w:r w:rsidR="002878A5">
        <w:t>by telephone on</w:t>
      </w:r>
      <w:r w:rsidR="0002151A">
        <w:t xml:space="preserve"> 020 7006 5364. </w:t>
      </w:r>
    </w:p>
    <w:p w14:paraId="6DD1BF6A" w14:textId="77777777" w:rsidR="003A3C0D" w:rsidRDefault="003A3C0D" w:rsidP="00D13693">
      <w:pPr>
        <w:ind w:left="0" w:firstLine="0"/>
        <w:rPr>
          <w:color w:val="000000" w:themeColor="text1"/>
          <w:szCs w:val="24"/>
        </w:rPr>
      </w:pPr>
    </w:p>
    <w:p w14:paraId="706A4536" w14:textId="6F88B7CE" w:rsidR="00D13693" w:rsidRDefault="00D13693" w:rsidP="00D13693">
      <w:pPr>
        <w:ind w:left="0" w:firstLine="0"/>
        <w:rPr>
          <w:color w:val="000000" w:themeColor="text1"/>
          <w:szCs w:val="24"/>
        </w:rPr>
      </w:pPr>
      <w:r w:rsidRPr="0E9E8489">
        <w:rPr>
          <w:color w:val="000000" w:themeColor="text1"/>
          <w:szCs w:val="24"/>
        </w:rPr>
        <w:t>Yours sincerely</w:t>
      </w:r>
      <w:r w:rsidR="00C61BB4">
        <w:rPr>
          <w:color w:val="000000" w:themeColor="text1"/>
          <w:szCs w:val="24"/>
        </w:rPr>
        <w:t>,</w:t>
      </w:r>
    </w:p>
    <w:p w14:paraId="6D087796" w14:textId="77777777" w:rsidR="00260E85" w:rsidRDefault="00260E85" w:rsidP="00260E85">
      <w:r>
        <w:rPr>
          <w:noProof/>
        </w:rPr>
        <w:drawing>
          <wp:inline distT="0" distB="0" distL="0" distR="0" wp14:anchorId="5C010984" wp14:editId="2ED6F0FC">
            <wp:extent cx="1792605" cy="9632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92605" cy="963295"/>
                    </a:xfrm>
                    <a:prstGeom prst="rect">
                      <a:avLst/>
                    </a:prstGeom>
                    <a:noFill/>
                  </pic:spPr>
                </pic:pic>
              </a:graphicData>
            </a:graphic>
          </wp:inline>
        </w:drawing>
      </w:r>
    </w:p>
    <w:p w14:paraId="37EE1F62" w14:textId="78E09D57" w:rsidR="00D13693" w:rsidRDefault="00260E85" w:rsidP="00260E85">
      <w:pPr>
        <w:spacing w:after="0" w:line="259" w:lineRule="auto"/>
        <w:ind w:left="0" w:firstLine="0"/>
        <w:jc w:val="left"/>
      </w:pPr>
      <w:r>
        <w:t>Nicholas Voisey</w:t>
      </w:r>
      <w:r>
        <w:br/>
      </w:r>
      <w:r>
        <w:rPr>
          <w:b/>
          <w:bCs/>
        </w:rPr>
        <w:t>Managing Director</w:t>
      </w:r>
    </w:p>
    <w:p w14:paraId="4536B942" w14:textId="77777777" w:rsidR="00D13693" w:rsidRDefault="00D13693" w:rsidP="00D13693">
      <w:pPr>
        <w:spacing w:after="160" w:line="259" w:lineRule="auto"/>
        <w:ind w:left="0" w:firstLine="0"/>
        <w:jc w:val="left"/>
      </w:pPr>
      <w:r>
        <w:br w:type="page"/>
      </w:r>
    </w:p>
    <w:p w14:paraId="5F6DFDD4" w14:textId="005E76E5" w:rsidR="00D13693" w:rsidRPr="00583CD1" w:rsidRDefault="00D13693" w:rsidP="00D13693">
      <w:pPr>
        <w:spacing w:after="0" w:line="259" w:lineRule="auto"/>
        <w:ind w:left="0" w:firstLine="0"/>
        <w:jc w:val="center"/>
        <w:rPr>
          <w:b/>
          <w:bCs/>
        </w:rPr>
      </w:pPr>
      <w:r w:rsidRPr="00583CD1">
        <w:rPr>
          <w:b/>
          <w:bCs/>
        </w:rPr>
        <w:t>A</w:t>
      </w:r>
      <w:r w:rsidR="006963E2">
        <w:rPr>
          <w:b/>
          <w:bCs/>
        </w:rPr>
        <w:t>ppendi</w:t>
      </w:r>
      <w:r w:rsidRPr="00583CD1">
        <w:rPr>
          <w:b/>
          <w:bCs/>
        </w:rPr>
        <w:t>x I</w:t>
      </w:r>
    </w:p>
    <w:p w14:paraId="19AF9A97" w14:textId="77777777" w:rsidR="00D13693" w:rsidRDefault="00D13693" w:rsidP="00D13693">
      <w:pPr>
        <w:spacing w:after="0" w:line="259" w:lineRule="auto"/>
        <w:ind w:left="0" w:firstLine="0"/>
        <w:jc w:val="center"/>
      </w:pPr>
    </w:p>
    <w:p w14:paraId="00CA4DE7" w14:textId="77777777" w:rsidR="00D13693" w:rsidRDefault="00D13693" w:rsidP="00D13693">
      <w:pPr>
        <w:spacing w:after="0" w:line="259" w:lineRule="auto"/>
        <w:ind w:left="0" w:firstLine="0"/>
        <w:jc w:val="left"/>
      </w:pPr>
    </w:p>
    <w:p w14:paraId="6C1B4F7D" w14:textId="77777777" w:rsidR="00D13693" w:rsidRDefault="00D13693" w:rsidP="00D13693">
      <w:pPr>
        <w:pStyle w:val="ListParagraph"/>
        <w:numPr>
          <w:ilvl w:val="0"/>
          <w:numId w:val="1"/>
        </w:numPr>
        <w:spacing w:after="0" w:line="259" w:lineRule="auto"/>
        <w:jc w:val="left"/>
      </w:pPr>
      <w:r>
        <w:t>New Article 47(1)(a) CRD refers to the list of activities in Annex I CRD as if this were a list of activities that require authorisation in the EU. However, EU law does not require Member States to impose authorisation requirements on all the activities listed in Annex I. Annex I CRD merely provides a list of activities that an EU credit institution authorised in one Member State can carry on in other Member States without additional authorisation, where the activity is already covered by the institution's authorisation in its home Member State. This is particularly unfortunate because Annex 1 does not sufficiently describe the parameters of an authorisation requirement. Such a requirement should, at a minimum;</w:t>
      </w:r>
    </w:p>
    <w:p w14:paraId="6EC54D91" w14:textId="77777777" w:rsidR="00D13693" w:rsidRDefault="00D13693" w:rsidP="00D13693">
      <w:pPr>
        <w:pStyle w:val="ListParagraph"/>
        <w:numPr>
          <w:ilvl w:val="1"/>
          <w:numId w:val="1"/>
        </w:numPr>
        <w:spacing w:after="0" w:line="259" w:lineRule="auto"/>
        <w:jc w:val="left"/>
      </w:pPr>
      <w:r>
        <w:t xml:space="preserve">contain or refer to definitions of the listed activities that would adequately delimit the scope of the authorisation requirement under new Article 21c(1) or new Article 48c(1); </w:t>
      </w:r>
    </w:p>
    <w:p w14:paraId="223DB348" w14:textId="77777777" w:rsidR="00D13693" w:rsidRDefault="00D13693" w:rsidP="00D13693">
      <w:pPr>
        <w:pStyle w:val="ListParagraph"/>
        <w:numPr>
          <w:ilvl w:val="1"/>
          <w:numId w:val="1"/>
        </w:numPr>
        <w:spacing w:after="0" w:line="259" w:lineRule="auto"/>
        <w:jc w:val="left"/>
      </w:pPr>
      <w:r>
        <w:t xml:space="preserve">describe all the conditions that would need to be met for an authorisation requirement to apply (e.g., that the undertaking carries on the activity as a business) or  </w:t>
      </w:r>
    </w:p>
    <w:p w14:paraId="34139185" w14:textId="77777777" w:rsidR="00D13693" w:rsidRDefault="00D13693" w:rsidP="00D13693">
      <w:pPr>
        <w:pStyle w:val="ListParagraph"/>
        <w:numPr>
          <w:ilvl w:val="1"/>
          <w:numId w:val="1"/>
        </w:numPr>
        <w:spacing w:after="0" w:line="259" w:lineRule="auto"/>
        <w:jc w:val="left"/>
      </w:pPr>
      <w:r>
        <w:t xml:space="preserve">address the exemptions from authorisation that would be available to EU undertakings carrying on like activities where the activities are subject to authorisation in the EU (e.g., under Article 9 CRD, MiFID, the Consumer Credit Directive, the Mortgage Credit Directive, the Payment Services Directive or the Electronic Money Directive) or that would otherwise be necessary to avoid adverse consequences. For example, third-country corporates may wish to approach banks to borrow repayable funds or to trade on own account in securities or derivatives </w:t>
      </w:r>
    </w:p>
    <w:p w14:paraId="6DC27647" w14:textId="77777777" w:rsidR="00D13693" w:rsidRDefault="00D13693" w:rsidP="00D13693">
      <w:pPr>
        <w:pStyle w:val="ListParagraph"/>
        <w:spacing w:after="0" w:line="259" w:lineRule="auto"/>
        <w:ind w:left="1800" w:firstLine="0"/>
        <w:jc w:val="left"/>
      </w:pPr>
    </w:p>
    <w:p w14:paraId="58406F43" w14:textId="77777777" w:rsidR="00D13693" w:rsidRDefault="00D13693" w:rsidP="00D13693">
      <w:pPr>
        <w:pStyle w:val="ListParagraph"/>
        <w:numPr>
          <w:ilvl w:val="0"/>
          <w:numId w:val="1"/>
        </w:numPr>
        <w:spacing w:after="0" w:line="259" w:lineRule="auto"/>
        <w:jc w:val="left"/>
      </w:pPr>
      <w:r>
        <w:t>As a result, it is not clear whether large corporates or other entities that would otherwise be able to rely on those exemptions would be subject to the new authorisation requirements under new Article 47(1)(b) if they seek to engage in cross-border business with EU banks</w:t>
      </w:r>
    </w:p>
    <w:p w14:paraId="3AF945B7" w14:textId="77777777" w:rsidR="00D13693" w:rsidRDefault="00D13693" w:rsidP="00D13693">
      <w:pPr>
        <w:pStyle w:val="ListParagraph"/>
        <w:spacing w:after="0" w:line="259" w:lineRule="auto"/>
        <w:ind w:firstLine="0"/>
        <w:jc w:val="left"/>
      </w:pPr>
    </w:p>
    <w:p w14:paraId="07F4584C" w14:textId="77777777" w:rsidR="00D13693" w:rsidRDefault="00D13693" w:rsidP="00D13693">
      <w:pPr>
        <w:pStyle w:val="ListParagraph"/>
        <w:numPr>
          <w:ilvl w:val="0"/>
          <w:numId w:val="1"/>
        </w:numPr>
        <w:spacing w:after="0" w:line="259" w:lineRule="auto"/>
        <w:jc w:val="left"/>
      </w:pPr>
      <w:r>
        <w:t>New Article 48c(1) CRD states that Member States shall require that third country undertakings establish a branch in their territory before commencing the activities referred to in new Article 47(1). There is no derogation for reverse solicitation corresponding to that set out in new Article 21c(2) and (3).</w:t>
      </w:r>
    </w:p>
    <w:p w14:paraId="43EC14C8" w14:textId="77777777" w:rsidR="00D13693" w:rsidRDefault="00D13693" w:rsidP="00D13693">
      <w:pPr>
        <w:pStyle w:val="ListParagraph"/>
        <w:spacing w:after="0" w:line="259" w:lineRule="auto"/>
        <w:ind w:firstLine="0"/>
        <w:jc w:val="left"/>
      </w:pPr>
      <w:r>
        <w:t xml:space="preserve"> </w:t>
      </w:r>
    </w:p>
    <w:p w14:paraId="52E606D6" w14:textId="77777777" w:rsidR="00D13693" w:rsidRDefault="00D13693" w:rsidP="00D13693">
      <w:pPr>
        <w:pStyle w:val="ListParagraph"/>
        <w:numPr>
          <w:ilvl w:val="0"/>
          <w:numId w:val="1"/>
        </w:numPr>
        <w:spacing w:after="0" w:line="259" w:lineRule="auto"/>
        <w:jc w:val="left"/>
      </w:pPr>
      <w:r>
        <w:t xml:space="preserve">New Article 48c(3)(d) CRD. Article 47(3) </w:t>
      </w:r>
      <w:proofErr w:type="spellStart"/>
      <w:r>
        <w:t>MiFIR</w:t>
      </w:r>
      <w:proofErr w:type="spellEnd"/>
      <w:r>
        <w:t xml:space="preserve"> provides that third-country firms that are established in a country whose legal and supervisory framework has been recognised as equivalent and that have established a branch in a Member State authorised in accordance with Article 39 MiFID can provide the services and activities covered under the authorisation to eligible counterparties and professional clients in other Member States without the establishment of new branches. New Article 48c(3)(d) conflicts with this existing provision in so far as it would prohibit branches of third-country firms from jurisdictions treated as equivalent which are authorised under new Title VI CRD from conducting cross-border business covered by MiFID in other Member States. </w:t>
      </w:r>
    </w:p>
    <w:p w14:paraId="5DA112D6" w14:textId="77777777" w:rsidR="00D13693" w:rsidRDefault="00D13693" w:rsidP="00D13693">
      <w:pPr>
        <w:pStyle w:val="ListParagraph"/>
        <w:spacing w:after="0" w:line="259" w:lineRule="auto"/>
        <w:ind w:firstLine="0"/>
        <w:jc w:val="left"/>
      </w:pPr>
    </w:p>
    <w:p w14:paraId="075C8672" w14:textId="77777777" w:rsidR="00D13693" w:rsidRDefault="00D13693" w:rsidP="00D13693">
      <w:pPr>
        <w:pStyle w:val="ListParagraph"/>
        <w:numPr>
          <w:ilvl w:val="0"/>
          <w:numId w:val="1"/>
        </w:numPr>
        <w:spacing w:after="0" w:line="259" w:lineRule="auto"/>
        <w:jc w:val="left"/>
      </w:pPr>
      <w:r>
        <w:t xml:space="preserve">Title II, Chapter IV MiFID. Where a third-country credit institution establishes a branch in a Member State which is subject to authorisation under new Title VI CRD, that branch may also be subject to authorisation under Title II, Chapter IV MiFID where the credit institution is a third-country firm as defined in MiFID and the Member State has exercised the option provided for in Article 39 MiFID. CRD6 does not establish how the two sets of authorisation requirements should interact with each other in such a case. </w:t>
      </w:r>
    </w:p>
    <w:p w14:paraId="039E69B5" w14:textId="77777777" w:rsidR="00D13693" w:rsidRDefault="00D13693" w:rsidP="00D13693">
      <w:pPr>
        <w:pStyle w:val="ListParagraph"/>
        <w:spacing w:after="0" w:line="259" w:lineRule="auto"/>
        <w:ind w:firstLine="0"/>
        <w:jc w:val="left"/>
      </w:pPr>
      <w:r>
        <w:t xml:space="preserve"> </w:t>
      </w:r>
    </w:p>
    <w:p w14:paraId="6F49F142" w14:textId="77777777" w:rsidR="00D13693" w:rsidRDefault="00D13693" w:rsidP="00D13693">
      <w:pPr>
        <w:pStyle w:val="ListParagraph"/>
        <w:numPr>
          <w:ilvl w:val="0"/>
          <w:numId w:val="1"/>
        </w:numPr>
        <w:spacing w:after="0" w:line="259" w:lineRule="auto"/>
        <w:jc w:val="left"/>
      </w:pPr>
      <w:r>
        <w:t xml:space="preserve">The third sub-paragraph of Article 3(1) CRD6 would not allow a third-country undertaking to continue its activities after the end of the specified 12-month conformance period where it has previously applied for authorisation of a branch but the competent authority has not yet determined that application.  </w:t>
      </w:r>
    </w:p>
    <w:p w14:paraId="02B96D23" w14:textId="77777777" w:rsidR="00D13693" w:rsidRDefault="00D13693" w:rsidP="00D13693">
      <w:pPr>
        <w:pStyle w:val="ListParagraph"/>
        <w:spacing w:after="0" w:line="259" w:lineRule="auto"/>
        <w:ind w:firstLine="0"/>
        <w:jc w:val="left"/>
      </w:pPr>
    </w:p>
    <w:p w14:paraId="1E9C8A72" w14:textId="77777777" w:rsidR="00D13693" w:rsidRDefault="00D13693" w:rsidP="00D13693">
      <w:pPr>
        <w:pStyle w:val="ListParagraph"/>
        <w:numPr>
          <w:ilvl w:val="0"/>
          <w:numId w:val="1"/>
        </w:numPr>
        <w:spacing w:after="0" w:line="259" w:lineRule="auto"/>
        <w:jc w:val="left"/>
      </w:pPr>
      <w:r>
        <w:t>The fourth sub-paragraph of Article 3(1) CRD6 would require branches of third-country undertakings to comply with the new reporting requirements immediately after the end of the transposition period specified in the first sub-paragraph. This may be practically difficult where the branch has not previously required authorisation in the Member State or where the Member State in question only adopts the relevant implementing legislation towards the end of the transposition period.</w:t>
      </w:r>
    </w:p>
    <w:p w14:paraId="7677E9C4" w14:textId="77777777" w:rsidR="00D13693" w:rsidRDefault="00D13693" w:rsidP="00D13693">
      <w:pPr>
        <w:spacing w:after="160" w:line="259" w:lineRule="auto"/>
        <w:ind w:left="0" w:firstLine="0"/>
        <w:jc w:val="left"/>
      </w:pPr>
      <w:r>
        <w:br w:type="page"/>
      </w:r>
    </w:p>
    <w:p w14:paraId="714FF771" w14:textId="77777777" w:rsidR="00D13693" w:rsidRDefault="00D13693" w:rsidP="00D13693">
      <w:pPr>
        <w:spacing w:after="160" w:line="259" w:lineRule="auto"/>
        <w:ind w:left="0" w:firstLine="0"/>
        <w:jc w:val="left"/>
        <w:sectPr w:rsidR="00D13693">
          <w:headerReference w:type="even" r:id="rId17"/>
          <w:headerReference w:type="default" r:id="rId18"/>
          <w:footerReference w:type="even" r:id="rId19"/>
          <w:footerReference w:type="default" r:id="rId20"/>
          <w:headerReference w:type="first" r:id="rId21"/>
          <w:footerReference w:type="first" r:id="rId22"/>
          <w:footnotePr>
            <w:numRestart w:val="eachPage"/>
          </w:footnotePr>
          <w:pgSz w:w="11906" w:h="16838"/>
          <w:pgMar w:top="731" w:right="1437" w:bottom="1508" w:left="1440" w:header="720" w:footer="340" w:gutter="0"/>
          <w:cols w:space="720"/>
        </w:sectPr>
      </w:pPr>
    </w:p>
    <w:p w14:paraId="23D491FA" w14:textId="0CF2915E" w:rsidR="00D13693" w:rsidRPr="00F4333B" w:rsidRDefault="006963E2" w:rsidP="00D13693">
      <w:pPr>
        <w:spacing w:after="160" w:line="259" w:lineRule="auto"/>
        <w:ind w:left="0" w:firstLine="0"/>
        <w:jc w:val="center"/>
        <w:rPr>
          <w:b/>
          <w:bCs/>
        </w:rPr>
      </w:pPr>
      <w:r w:rsidRPr="00583CD1">
        <w:rPr>
          <w:b/>
          <w:bCs/>
        </w:rPr>
        <w:t>A</w:t>
      </w:r>
      <w:r>
        <w:rPr>
          <w:b/>
          <w:bCs/>
        </w:rPr>
        <w:t>ppendi</w:t>
      </w:r>
      <w:r w:rsidRPr="00583CD1">
        <w:rPr>
          <w:b/>
          <w:bCs/>
        </w:rPr>
        <w:t xml:space="preserve">x </w:t>
      </w:r>
      <w:r w:rsidR="00D13693" w:rsidRPr="00F4333B">
        <w:rPr>
          <w:b/>
          <w:bCs/>
        </w:rPr>
        <w:t>II</w:t>
      </w:r>
    </w:p>
    <w:p w14:paraId="2CF0FB43" w14:textId="77777777" w:rsidR="00D13693" w:rsidRDefault="00D13693" w:rsidP="00D13693">
      <w:pPr>
        <w:spacing w:after="160" w:line="259" w:lineRule="auto"/>
        <w:ind w:left="0" w:firstLine="0"/>
        <w:jc w:val="left"/>
      </w:pPr>
    </w:p>
    <w:tbl>
      <w:tblPr>
        <w:tblW w:w="9360" w:type="dxa"/>
        <w:tblLook w:val="04A0" w:firstRow="1" w:lastRow="0" w:firstColumn="1" w:lastColumn="0" w:noHBand="0" w:noVBand="1"/>
      </w:tblPr>
      <w:tblGrid>
        <w:gridCol w:w="305"/>
        <w:gridCol w:w="1168"/>
        <w:gridCol w:w="1088"/>
        <w:gridCol w:w="946"/>
        <w:gridCol w:w="946"/>
        <w:gridCol w:w="1150"/>
        <w:gridCol w:w="1088"/>
        <w:gridCol w:w="1097"/>
        <w:gridCol w:w="1185"/>
        <w:gridCol w:w="1355"/>
        <w:gridCol w:w="1221"/>
        <w:gridCol w:w="946"/>
        <w:gridCol w:w="946"/>
      </w:tblGrid>
      <w:tr w:rsidR="00D13693" w:rsidRPr="00F4333B" w14:paraId="000EEF2E" w14:textId="77777777" w:rsidTr="00EC16DF">
        <w:trPr>
          <w:trHeight w:val="285"/>
        </w:trPr>
        <w:tc>
          <w:tcPr>
            <w:tcW w:w="200" w:type="dxa"/>
            <w:tcBorders>
              <w:top w:val="nil"/>
              <w:left w:val="nil"/>
              <w:bottom w:val="nil"/>
              <w:right w:val="nil"/>
            </w:tcBorders>
            <w:shd w:val="clear" w:color="000000" w:fill="FFFFFF"/>
            <w:noWrap/>
            <w:vAlign w:val="bottom"/>
            <w:hideMark/>
          </w:tcPr>
          <w:p w14:paraId="33E41235" w14:textId="77777777" w:rsidR="00D13693" w:rsidRPr="00F4333B" w:rsidRDefault="00D13693" w:rsidP="00EC16DF">
            <w:pPr>
              <w:spacing w:after="0" w:line="240" w:lineRule="auto"/>
              <w:ind w:left="0" w:firstLine="0"/>
              <w:jc w:val="left"/>
              <w:rPr>
                <w:rFonts w:ascii="Arial" w:hAnsi="Arial" w:cs="Arial"/>
                <w:sz w:val="22"/>
              </w:rPr>
            </w:pPr>
            <w:r w:rsidRPr="00F4333B">
              <w:rPr>
                <w:rFonts w:ascii="Arial" w:hAnsi="Arial" w:cs="Arial"/>
                <w:sz w:val="22"/>
              </w:rPr>
              <w:t> </w:t>
            </w:r>
          </w:p>
        </w:tc>
        <w:tc>
          <w:tcPr>
            <w:tcW w:w="331" w:type="dxa"/>
            <w:tcBorders>
              <w:top w:val="nil"/>
              <w:left w:val="nil"/>
              <w:bottom w:val="nil"/>
              <w:right w:val="nil"/>
            </w:tcBorders>
            <w:shd w:val="clear" w:color="000000" w:fill="FFFFFF"/>
            <w:vAlign w:val="bottom"/>
            <w:hideMark/>
          </w:tcPr>
          <w:p w14:paraId="4F9B3F10" w14:textId="77777777" w:rsidR="00D13693" w:rsidRPr="00F4333B" w:rsidRDefault="00D13693" w:rsidP="00EC16DF">
            <w:pPr>
              <w:spacing w:after="0" w:line="240" w:lineRule="auto"/>
              <w:ind w:left="0" w:firstLine="0"/>
              <w:jc w:val="left"/>
              <w:rPr>
                <w:rFonts w:ascii="Arial" w:hAnsi="Arial" w:cs="Arial"/>
                <w:sz w:val="22"/>
              </w:rPr>
            </w:pPr>
            <w:r w:rsidRPr="00F4333B">
              <w:rPr>
                <w:rFonts w:ascii="Arial" w:hAnsi="Arial" w:cs="Arial"/>
                <w:sz w:val="22"/>
              </w:rPr>
              <w:t> </w:t>
            </w:r>
          </w:p>
        </w:tc>
        <w:tc>
          <w:tcPr>
            <w:tcW w:w="870" w:type="dxa"/>
            <w:tcBorders>
              <w:top w:val="nil"/>
              <w:left w:val="nil"/>
              <w:bottom w:val="nil"/>
              <w:right w:val="nil"/>
            </w:tcBorders>
            <w:shd w:val="clear" w:color="000000" w:fill="FFFFFF"/>
            <w:noWrap/>
            <w:vAlign w:val="bottom"/>
            <w:hideMark/>
          </w:tcPr>
          <w:p w14:paraId="11CF316A" w14:textId="77777777" w:rsidR="00D13693" w:rsidRPr="00F4333B" w:rsidRDefault="00D13693" w:rsidP="00EC16DF">
            <w:pPr>
              <w:spacing w:after="0" w:line="240" w:lineRule="auto"/>
              <w:ind w:left="0" w:firstLine="0"/>
              <w:jc w:val="left"/>
              <w:rPr>
                <w:rFonts w:ascii="Arial" w:hAnsi="Arial" w:cs="Arial"/>
                <w:sz w:val="22"/>
              </w:rPr>
            </w:pPr>
            <w:r w:rsidRPr="00F4333B">
              <w:rPr>
                <w:rFonts w:ascii="Arial" w:hAnsi="Arial" w:cs="Arial"/>
                <w:sz w:val="22"/>
              </w:rPr>
              <w:t> </w:t>
            </w:r>
          </w:p>
        </w:tc>
        <w:tc>
          <w:tcPr>
            <w:tcW w:w="638" w:type="dxa"/>
            <w:tcBorders>
              <w:top w:val="nil"/>
              <w:left w:val="nil"/>
              <w:bottom w:val="nil"/>
              <w:right w:val="nil"/>
            </w:tcBorders>
            <w:shd w:val="clear" w:color="000000" w:fill="FFFFFF"/>
            <w:noWrap/>
            <w:vAlign w:val="bottom"/>
            <w:hideMark/>
          </w:tcPr>
          <w:p w14:paraId="54A778DD" w14:textId="77777777" w:rsidR="00D13693" w:rsidRPr="00F4333B" w:rsidRDefault="00D13693" w:rsidP="00EC16DF">
            <w:pPr>
              <w:spacing w:after="0" w:line="240" w:lineRule="auto"/>
              <w:ind w:left="0" w:firstLine="0"/>
              <w:jc w:val="left"/>
              <w:rPr>
                <w:rFonts w:ascii="Arial" w:hAnsi="Arial" w:cs="Arial"/>
                <w:sz w:val="22"/>
              </w:rPr>
            </w:pPr>
            <w:r w:rsidRPr="00F4333B">
              <w:rPr>
                <w:rFonts w:ascii="Arial" w:hAnsi="Arial" w:cs="Arial"/>
                <w:sz w:val="22"/>
              </w:rPr>
              <w:t> </w:t>
            </w:r>
          </w:p>
        </w:tc>
        <w:tc>
          <w:tcPr>
            <w:tcW w:w="778" w:type="dxa"/>
            <w:tcBorders>
              <w:top w:val="nil"/>
              <w:left w:val="nil"/>
              <w:bottom w:val="nil"/>
              <w:right w:val="nil"/>
            </w:tcBorders>
            <w:shd w:val="clear" w:color="000000" w:fill="FFFFFF"/>
            <w:noWrap/>
            <w:vAlign w:val="bottom"/>
            <w:hideMark/>
          </w:tcPr>
          <w:p w14:paraId="37D48975" w14:textId="77777777" w:rsidR="00D13693" w:rsidRPr="00F4333B" w:rsidRDefault="00D13693" w:rsidP="00EC16DF">
            <w:pPr>
              <w:spacing w:after="0" w:line="240" w:lineRule="auto"/>
              <w:ind w:left="0" w:firstLine="0"/>
              <w:jc w:val="left"/>
              <w:rPr>
                <w:rFonts w:ascii="Arial" w:hAnsi="Arial" w:cs="Arial"/>
                <w:sz w:val="22"/>
              </w:rPr>
            </w:pPr>
            <w:r w:rsidRPr="00F4333B">
              <w:rPr>
                <w:rFonts w:ascii="Arial" w:hAnsi="Arial" w:cs="Arial"/>
                <w:sz w:val="22"/>
              </w:rPr>
              <w:t> </w:t>
            </w:r>
          </w:p>
        </w:tc>
        <w:tc>
          <w:tcPr>
            <w:tcW w:w="816" w:type="dxa"/>
            <w:tcBorders>
              <w:top w:val="nil"/>
              <w:left w:val="nil"/>
              <w:bottom w:val="nil"/>
              <w:right w:val="nil"/>
            </w:tcBorders>
            <w:shd w:val="clear" w:color="000000" w:fill="FFFFFF"/>
            <w:noWrap/>
            <w:vAlign w:val="bottom"/>
            <w:hideMark/>
          </w:tcPr>
          <w:p w14:paraId="6FAA18CE" w14:textId="77777777" w:rsidR="00D13693" w:rsidRPr="00F4333B" w:rsidRDefault="00D13693" w:rsidP="00EC16DF">
            <w:pPr>
              <w:spacing w:after="0" w:line="240" w:lineRule="auto"/>
              <w:ind w:left="0" w:firstLine="0"/>
              <w:jc w:val="left"/>
              <w:rPr>
                <w:rFonts w:ascii="Arial" w:hAnsi="Arial" w:cs="Arial"/>
                <w:sz w:val="22"/>
              </w:rPr>
            </w:pPr>
            <w:r w:rsidRPr="00F4333B">
              <w:rPr>
                <w:rFonts w:ascii="Arial" w:hAnsi="Arial" w:cs="Arial"/>
                <w:sz w:val="22"/>
              </w:rPr>
              <w:t> </w:t>
            </w:r>
          </w:p>
        </w:tc>
        <w:tc>
          <w:tcPr>
            <w:tcW w:w="848" w:type="dxa"/>
            <w:tcBorders>
              <w:top w:val="nil"/>
              <w:left w:val="nil"/>
              <w:bottom w:val="nil"/>
              <w:right w:val="nil"/>
            </w:tcBorders>
            <w:shd w:val="clear" w:color="000000" w:fill="FFFFFF"/>
            <w:noWrap/>
            <w:vAlign w:val="bottom"/>
            <w:hideMark/>
          </w:tcPr>
          <w:p w14:paraId="6B8685BA" w14:textId="77777777" w:rsidR="00D13693" w:rsidRPr="00F4333B" w:rsidRDefault="00D13693" w:rsidP="00EC16DF">
            <w:pPr>
              <w:spacing w:after="0" w:line="240" w:lineRule="auto"/>
              <w:ind w:left="0" w:firstLine="0"/>
              <w:jc w:val="left"/>
              <w:rPr>
                <w:rFonts w:ascii="Arial" w:hAnsi="Arial" w:cs="Arial"/>
                <w:sz w:val="22"/>
              </w:rPr>
            </w:pPr>
            <w:r w:rsidRPr="00F4333B">
              <w:rPr>
                <w:rFonts w:ascii="Arial" w:hAnsi="Arial" w:cs="Arial"/>
                <w:sz w:val="22"/>
              </w:rPr>
              <w:t> </w:t>
            </w:r>
          </w:p>
        </w:tc>
        <w:tc>
          <w:tcPr>
            <w:tcW w:w="854" w:type="dxa"/>
            <w:tcBorders>
              <w:top w:val="nil"/>
              <w:left w:val="nil"/>
              <w:bottom w:val="nil"/>
              <w:right w:val="nil"/>
            </w:tcBorders>
            <w:shd w:val="clear" w:color="000000" w:fill="FFFFFF"/>
            <w:noWrap/>
            <w:vAlign w:val="bottom"/>
            <w:hideMark/>
          </w:tcPr>
          <w:p w14:paraId="22C52A2E" w14:textId="77777777" w:rsidR="00D13693" w:rsidRPr="00F4333B" w:rsidRDefault="00D13693" w:rsidP="00EC16DF">
            <w:pPr>
              <w:spacing w:after="0" w:line="240" w:lineRule="auto"/>
              <w:ind w:left="0" w:firstLine="0"/>
              <w:jc w:val="left"/>
              <w:rPr>
                <w:rFonts w:ascii="Arial" w:hAnsi="Arial" w:cs="Arial"/>
                <w:sz w:val="22"/>
              </w:rPr>
            </w:pPr>
            <w:r w:rsidRPr="00F4333B">
              <w:rPr>
                <w:rFonts w:ascii="Arial" w:hAnsi="Arial" w:cs="Arial"/>
                <w:sz w:val="22"/>
              </w:rPr>
              <w:t> </w:t>
            </w:r>
          </w:p>
        </w:tc>
        <w:tc>
          <w:tcPr>
            <w:tcW w:w="854" w:type="dxa"/>
            <w:tcBorders>
              <w:top w:val="nil"/>
              <w:left w:val="nil"/>
              <w:bottom w:val="nil"/>
              <w:right w:val="nil"/>
            </w:tcBorders>
            <w:shd w:val="clear" w:color="000000" w:fill="FFFFFF"/>
            <w:noWrap/>
            <w:vAlign w:val="bottom"/>
            <w:hideMark/>
          </w:tcPr>
          <w:p w14:paraId="00EFF910" w14:textId="77777777" w:rsidR="00D13693" w:rsidRPr="00F4333B" w:rsidRDefault="00D13693" w:rsidP="00EC16DF">
            <w:pPr>
              <w:spacing w:after="0" w:line="240" w:lineRule="auto"/>
              <w:ind w:left="0" w:firstLine="0"/>
              <w:jc w:val="left"/>
              <w:rPr>
                <w:rFonts w:ascii="Arial" w:hAnsi="Arial" w:cs="Arial"/>
                <w:sz w:val="22"/>
              </w:rPr>
            </w:pPr>
            <w:r w:rsidRPr="00F4333B">
              <w:rPr>
                <w:rFonts w:ascii="Arial" w:hAnsi="Arial" w:cs="Arial"/>
                <w:sz w:val="22"/>
              </w:rPr>
              <w:t> </w:t>
            </w:r>
          </w:p>
        </w:tc>
        <w:tc>
          <w:tcPr>
            <w:tcW w:w="945" w:type="dxa"/>
            <w:tcBorders>
              <w:top w:val="nil"/>
              <w:left w:val="nil"/>
              <w:bottom w:val="nil"/>
              <w:right w:val="nil"/>
            </w:tcBorders>
            <w:shd w:val="clear" w:color="000000" w:fill="FFFFFF"/>
            <w:noWrap/>
            <w:vAlign w:val="bottom"/>
            <w:hideMark/>
          </w:tcPr>
          <w:p w14:paraId="11327FD5" w14:textId="77777777" w:rsidR="00D13693" w:rsidRPr="00F4333B" w:rsidRDefault="00D13693" w:rsidP="00EC16DF">
            <w:pPr>
              <w:spacing w:after="0" w:line="240" w:lineRule="auto"/>
              <w:ind w:left="0" w:firstLine="0"/>
              <w:jc w:val="left"/>
              <w:rPr>
                <w:rFonts w:ascii="Arial" w:hAnsi="Arial" w:cs="Arial"/>
                <w:sz w:val="22"/>
              </w:rPr>
            </w:pPr>
            <w:r w:rsidRPr="00F4333B">
              <w:rPr>
                <w:rFonts w:ascii="Arial" w:hAnsi="Arial" w:cs="Arial"/>
                <w:sz w:val="22"/>
              </w:rPr>
              <w:t> </w:t>
            </w:r>
          </w:p>
        </w:tc>
        <w:tc>
          <w:tcPr>
            <w:tcW w:w="767" w:type="dxa"/>
            <w:tcBorders>
              <w:top w:val="nil"/>
              <w:left w:val="nil"/>
              <w:bottom w:val="nil"/>
              <w:right w:val="nil"/>
            </w:tcBorders>
            <w:shd w:val="clear" w:color="000000" w:fill="FFFFFF"/>
            <w:noWrap/>
            <w:vAlign w:val="bottom"/>
            <w:hideMark/>
          </w:tcPr>
          <w:p w14:paraId="595EB784" w14:textId="77777777" w:rsidR="00D13693" w:rsidRPr="00F4333B" w:rsidRDefault="00D13693" w:rsidP="00EC16DF">
            <w:pPr>
              <w:spacing w:after="0" w:line="240" w:lineRule="auto"/>
              <w:ind w:left="0" w:firstLine="0"/>
              <w:jc w:val="left"/>
              <w:rPr>
                <w:rFonts w:ascii="Arial" w:hAnsi="Arial" w:cs="Arial"/>
                <w:sz w:val="22"/>
              </w:rPr>
            </w:pPr>
            <w:r w:rsidRPr="00F4333B">
              <w:rPr>
                <w:rFonts w:ascii="Arial" w:hAnsi="Arial" w:cs="Arial"/>
                <w:sz w:val="22"/>
              </w:rPr>
              <w:t> </w:t>
            </w:r>
          </w:p>
        </w:tc>
        <w:tc>
          <w:tcPr>
            <w:tcW w:w="740" w:type="dxa"/>
            <w:tcBorders>
              <w:top w:val="nil"/>
              <w:left w:val="nil"/>
              <w:bottom w:val="nil"/>
              <w:right w:val="nil"/>
            </w:tcBorders>
            <w:shd w:val="clear" w:color="000000" w:fill="FFFFFF"/>
            <w:noWrap/>
            <w:vAlign w:val="bottom"/>
            <w:hideMark/>
          </w:tcPr>
          <w:p w14:paraId="21B31D95" w14:textId="77777777" w:rsidR="00D13693" w:rsidRPr="00F4333B" w:rsidRDefault="00D13693" w:rsidP="00EC16DF">
            <w:pPr>
              <w:spacing w:after="0" w:line="240" w:lineRule="auto"/>
              <w:ind w:left="0" w:firstLine="0"/>
              <w:jc w:val="left"/>
              <w:rPr>
                <w:rFonts w:ascii="Arial" w:hAnsi="Arial" w:cs="Arial"/>
                <w:sz w:val="22"/>
              </w:rPr>
            </w:pPr>
            <w:r w:rsidRPr="00F4333B">
              <w:rPr>
                <w:rFonts w:ascii="Arial" w:hAnsi="Arial" w:cs="Arial"/>
                <w:sz w:val="22"/>
              </w:rPr>
              <w:t> </w:t>
            </w:r>
          </w:p>
        </w:tc>
        <w:tc>
          <w:tcPr>
            <w:tcW w:w="719" w:type="dxa"/>
            <w:tcBorders>
              <w:top w:val="nil"/>
              <w:left w:val="nil"/>
              <w:bottom w:val="nil"/>
              <w:right w:val="nil"/>
            </w:tcBorders>
            <w:shd w:val="clear" w:color="000000" w:fill="FFFFFF"/>
            <w:noWrap/>
            <w:vAlign w:val="bottom"/>
            <w:hideMark/>
          </w:tcPr>
          <w:p w14:paraId="6F829805" w14:textId="77777777" w:rsidR="00D13693" w:rsidRPr="00F4333B" w:rsidRDefault="00D13693" w:rsidP="00EC16DF">
            <w:pPr>
              <w:spacing w:after="0" w:line="240" w:lineRule="auto"/>
              <w:ind w:left="0" w:firstLine="0"/>
              <w:jc w:val="left"/>
              <w:rPr>
                <w:rFonts w:ascii="Arial" w:hAnsi="Arial" w:cs="Arial"/>
                <w:sz w:val="22"/>
              </w:rPr>
            </w:pPr>
            <w:r w:rsidRPr="00F4333B">
              <w:rPr>
                <w:rFonts w:ascii="Arial" w:hAnsi="Arial" w:cs="Arial"/>
                <w:sz w:val="22"/>
              </w:rPr>
              <w:t> </w:t>
            </w:r>
          </w:p>
        </w:tc>
      </w:tr>
      <w:tr w:rsidR="00D13693" w:rsidRPr="00F4333B" w14:paraId="16268141" w14:textId="77777777" w:rsidTr="00EC16DF">
        <w:trPr>
          <w:trHeight w:val="285"/>
        </w:trPr>
        <w:tc>
          <w:tcPr>
            <w:tcW w:w="200" w:type="dxa"/>
            <w:tcBorders>
              <w:top w:val="nil"/>
              <w:left w:val="nil"/>
              <w:bottom w:val="nil"/>
              <w:right w:val="nil"/>
            </w:tcBorders>
            <w:shd w:val="clear" w:color="000000" w:fill="FFFFFF"/>
            <w:noWrap/>
            <w:vAlign w:val="bottom"/>
            <w:hideMark/>
          </w:tcPr>
          <w:p w14:paraId="57FA78D3" w14:textId="77777777" w:rsidR="00D13693" w:rsidRPr="00F4333B" w:rsidRDefault="00D13693" w:rsidP="00EC16DF">
            <w:pPr>
              <w:spacing w:after="0" w:line="240" w:lineRule="auto"/>
              <w:ind w:left="0" w:firstLine="0"/>
              <w:jc w:val="left"/>
              <w:rPr>
                <w:rFonts w:ascii="Arial" w:hAnsi="Arial" w:cs="Arial"/>
                <w:sz w:val="22"/>
              </w:rPr>
            </w:pPr>
            <w:r w:rsidRPr="00F4333B">
              <w:rPr>
                <w:rFonts w:ascii="Arial" w:hAnsi="Arial" w:cs="Arial"/>
                <w:sz w:val="22"/>
              </w:rPr>
              <w:t> </w:t>
            </w:r>
          </w:p>
        </w:tc>
        <w:tc>
          <w:tcPr>
            <w:tcW w:w="331" w:type="dxa"/>
            <w:tcBorders>
              <w:top w:val="nil"/>
              <w:left w:val="nil"/>
              <w:bottom w:val="nil"/>
              <w:right w:val="nil"/>
            </w:tcBorders>
            <w:shd w:val="clear" w:color="000000" w:fill="FFFFFF"/>
            <w:vAlign w:val="bottom"/>
            <w:hideMark/>
          </w:tcPr>
          <w:p w14:paraId="3EFA0A93" w14:textId="77777777" w:rsidR="00D13693" w:rsidRPr="00F4333B" w:rsidRDefault="00D13693" w:rsidP="00EC16DF">
            <w:pPr>
              <w:spacing w:after="0" w:line="240" w:lineRule="auto"/>
              <w:ind w:left="0" w:firstLine="0"/>
              <w:jc w:val="left"/>
              <w:rPr>
                <w:rFonts w:ascii="Arial" w:hAnsi="Arial" w:cs="Arial"/>
                <w:sz w:val="22"/>
              </w:rPr>
            </w:pPr>
            <w:r w:rsidRPr="00F4333B">
              <w:rPr>
                <w:rFonts w:ascii="Arial" w:hAnsi="Arial" w:cs="Arial"/>
                <w:sz w:val="22"/>
              </w:rPr>
              <w:t> </w:t>
            </w:r>
          </w:p>
        </w:tc>
        <w:tc>
          <w:tcPr>
            <w:tcW w:w="870" w:type="dxa"/>
            <w:tcBorders>
              <w:top w:val="nil"/>
              <w:left w:val="nil"/>
              <w:bottom w:val="nil"/>
              <w:right w:val="nil"/>
            </w:tcBorders>
            <w:shd w:val="clear" w:color="000000" w:fill="FFFFFF"/>
            <w:noWrap/>
            <w:vAlign w:val="bottom"/>
            <w:hideMark/>
          </w:tcPr>
          <w:p w14:paraId="19747B4D" w14:textId="77777777" w:rsidR="00D13693" w:rsidRPr="00F4333B" w:rsidRDefault="00D13693" w:rsidP="00EC16DF">
            <w:pPr>
              <w:spacing w:after="0" w:line="240" w:lineRule="auto"/>
              <w:ind w:left="0" w:firstLine="0"/>
              <w:jc w:val="left"/>
              <w:rPr>
                <w:rFonts w:ascii="Arial" w:hAnsi="Arial" w:cs="Arial"/>
                <w:sz w:val="22"/>
              </w:rPr>
            </w:pPr>
            <w:r w:rsidRPr="00F4333B">
              <w:rPr>
                <w:rFonts w:ascii="Arial" w:hAnsi="Arial" w:cs="Arial"/>
                <w:sz w:val="22"/>
              </w:rPr>
              <w:t> </w:t>
            </w:r>
          </w:p>
        </w:tc>
        <w:tc>
          <w:tcPr>
            <w:tcW w:w="638" w:type="dxa"/>
            <w:tcBorders>
              <w:top w:val="nil"/>
              <w:left w:val="nil"/>
              <w:bottom w:val="nil"/>
              <w:right w:val="nil"/>
            </w:tcBorders>
            <w:shd w:val="clear" w:color="000000" w:fill="FFFFFF"/>
            <w:noWrap/>
            <w:vAlign w:val="bottom"/>
            <w:hideMark/>
          </w:tcPr>
          <w:p w14:paraId="24AB00E8" w14:textId="77777777" w:rsidR="00D13693" w:rsidRPr="00F4333B" w:rsidRDefault="00D13693" w:rsidP="00EC16DF">
            <w:pPr>
              <w:spacing w:after="0" w:line="240" w:lineRule="auto"/>
              <w:ind w:left="0" w:firstLine="0"/>
              <w:jc w:val="left"/>
              <w:rPr>
                <w:rFonts w:ascii="Arial" w:hAnsi="Arial" w:cs="Arial"/>
                <w:sz w:val="22"/>
              </w:rPr>
            </w:pPr>
            <w:r w:rsidRPr="00F4333B">
              <w:rPr>
                <w:rFonts w:ascii="Arial" w:hAnsi="Arial" w:cs="Arial"/>
                <w:sz w:val="22"/>
              </w:rPr>
              <w:t> </w:t>
            </w:r>
          </w:p>
        </w:tc>
        <w:tc>
          <w:tcPr>
            <w:tcW w:w="778" w:type="dxa"/>
            <w:tcBorders>
              <w:top w:val="nil"/>
              <w:left w:val="nil"/>
              <w:bottom w:val="nil"/>
              <w:right w:val="nil"/>
            </w:tcBorders>
            <w:shd w:val="clear" w:color="000000" w:fill="FFFFFF"/>
            <w:noWrap/>
            <w:vAlign w:val="bottom"/>
            <w:hideMark/>
          </w:tcPr>
          <w:p w14:paraId="4F4E8625" w14:textId="77777777" w:rsidR="00D13693" w:rsidRPr="00F4333B" w:rsidRDefault="00D13693" w:rsidP="00EC16DF">
            <w:pPr>
              <w:spacing w:after="0" w:line="240" w:lineRule="auto"/>
              <w:ind w:left="0" w:firstLine="0"/>
              <w:jc w:val="left"/>
              <w:rPr>
                <w:rFonts w:ascii="Arial" w:hAnsi="Arial" w:cs="Arial"/>
                <w:sz w:val="22"/>
              </w:rPr>
            </w:pPr>
            <w:r w:rsidRPr="00F4333B">
              <w:rPr>
                <w:rFonts w:ascii="Arial" w:hAnsi="Arial" w:cs="Arial"/>
                <w:sz w:val="22"/>
              </w:rPr>
              <w:t> </w:t>
            </w:r>
          </w:p>
        </w:tc>
        <w:tc>
          <w:tcPr>
            <w:tcW w:w="816" w:type="dxa"/>
            <w:tcBorders>
              <w:top w:val="nil"/>
              <w:left w:val="nil"/>
              <w:bottom w:val="nil"/>
              <w:right w:val="nil"/>
            </w:tcBorders>
            <w:shd w:val="clear" w:color="000000" w:fill="FFFFFF"/>
            <w:noWrap/>
            <w:vAlign w:val="bottom"/>
            <w:hideMark/>
          </w:tcPr>
          <w:p w14:paraId="127D0652" w14:textId="77777777" w:rsidR="00D13693" w:rsidRPr="00F4333B" w:rsidRDefault="00D13693" w:rsidP="00EC16DF">
            <w:pPr>
              <w:spacing w:after="0" w:line="240" w:lineRule="auto"/>
              <w:ind w:left="0" w:firstLine="0"/>
              <w:jc w:val="left"/>
              <w:rPr>
                <w:rFonts w:ascii="Arial" w:hAnsi="Arial" w:cs="Arial"/>
                <w:sz w:val="22"/>
              </w:rPr>
            </w:pPr>
            <w:r w:rsidRPr="00F4333B">
              <w:rPr>
                <w:rFonts w:ascii="Arial" w:hAnsi="Arial" w:cs="Arial"/>
                <w:sz w:val="22"/>
              </w:rPr>
              <w:t> </w:t>
            </w:r>
          </w:p>
        </w:tc>
        <w:tc>
          <w:tcPr>
            <w:tcW w:w="848" w:type="dxa"/>
            <w:tcBorders>
              <w:top w:val="nil"/>
              <w:left w:val="nil"/>
              <w:bottom w:val="nil"/>
              <w:right w:val="nil"/>
            </w:tcBorders>
            <w:shd w:val="clear" w:color="000000" w:fill="FFFFFF"/>
            <w:noWrap/>
            <w:vAlign w:val="bottom"/>
            <w:hideMark/>
          </w:tcPr>
          <w:p w14:paraId="61683933" w14:textId="77777777" w:rsidR="00D13693" w:rsidRPr="00F4333B" w:rsidRDefault="00D13693" w:rsidP="00EC16DF">
            <w:pPr>
              <w:spacing w:after="0" w:line="240" w:lineRule="auto"/>
              <w:ind w:left="0" w:firstLine="0"/>
              <w:jc w:val="left"/>
              <w:rPr>
                <w:rFonts w:ascii="Arial" w:hAnsi="Arial" w:cs="Arial"/>
                <w:sz w:val="22"/>
              </w:rPr>
            </w:pPr>
            <w:r w:rsidRPr="00F4333B">
              <w:rPr>
                <w:rFonts w:ascii="Arial" w:hAnsi="Arial" w:cs="Arial"/>
                <w:sz w:val="22"/>
              </w:rPr>
              <w:t> </w:t>
            </w:r>
          </w:p>
        </w:tc>
        <w:tc>
          <w:tcPr>
            <w:tcW w:w="854" w:type="dxa"/>
            <w:tcBorders>
              <w:top w:val="nil"/>
              <w:left w:val="nil"/>
              <w:bottom w:val="nil"/>
              <w:right w:val="nil"/>
            </w:tcBorders>
            <w:shd w:val="clear" w:color="000000" w:fill="FFFFFF"/>
            <w:noWrap/>
            <w:vAlign w:val="bottom"/>
            <w:hideMark/>
          </w:tcPr>
          <w:p w14:paraId="76674951" w14:textId="77777777" w:rsidR="00D13693" w:rsidRPr="00F4333B" w:rsidRDefault="00D13693" w:rsidP="00EC16DF">
            <w:pPr>
              <w:spacing w:after="0" w:line="240" w:lineRule="auto"/>
              <w:ind w:left="0" w:firstLine="0"/>
              <w:jc w:val="left"/>
              <w:rPr>
                <w:rFonts w:ascii="Arial" w:hAnsi="Arial" w:cs="Arial"/>
                <w:sz w:val="22"/>
              </w:rPr>
            </w:pPr>
            <w:r w:rsidRPr="00F4333B">
              <w:rPr>
                <w:rFonts w:ascii="Arial" w:hAnsi="Arial" w:cs="Arial"/>
                <w:sz w:val="22"/>
              </w:rPr>
              <w:t> </w:t>
            </w:r>
          </w:p>
        </w:tc>
        <w:tc>
          <w:tcPr>
            <w:tcW w:w="854" w:type="dxa"/>
            <w:tcBorders>
              <w:top w:val="nil"/>
              <w:left w:val="nil"/>
              <w:bottom w:val="nil"/>
              <w:right w:val="nil"/>
            </w:tcBorders>
            <w:shd w:val="clear" w:color="000000" w:fill="FFFFFF"/>
            <w:noWrap/>
            <w:vAlign w:val="bottom"/>
            <w:hideMark/>
          </w:tcPr>
          <w:p w14:paraId="7374A8ED" w14:textId="77777777" w:rsidR="00D13693" w:rsidRPr="00F4333B" w:rsidRDefault="00D13693" w:rsidP="00EC16DF">
            <w:pPr>
              <w:spacing w:after="0" w:line="240" w:lineRule="auto"/>
              <w:ind w:left="0" w:firstLine="0"/>
              <w:jc w:val="left"/>
              <w:rPr>
                <w:rFonts w:ascii="Arial" w:hAnsi="Arial" w:cs="Arial"/>
                <w:sz w:val="22"/>
              </w:rPr>
            </w:pPr>
            <w:r w:rsidRPr="00F4333B">
              <w:rPr>
                <w:rFonts w:ascii="Arial" w:hAnsi="Arial" w:cs="Arial"/>
                <w:sz w:val="22"/>
              </w:rPr>
              <w:t> </w:t>
            </w:r>
          </w:p>
        </w:tc>
        <w:tc>
          <w:tcPr>
            <w:tcW w:w="945" w:type="dxa"/>
            <w:tcBorders>
              <w:top w:val="nil"/>
              <w:left w:val="nil"/>
              <w:bottom w:val="nil"/>
              <w:right w:val="nil"/>
            </w:tcBorders>
            <w:shd w:val="clear" w:color="000000" w:fill="FFFFFF"/>
            <w:noWrap/>
            <w:vAlign w:val="bottom"/>
            <w:hideMark/>
          </w:tcPr>
          <w:p w14:paraId="5D8179B7" w14:textId="77777777" w:rsidR="00D13693" w:rsidRPr="00F4333B" w:rsidRDefault="00D13693" w:rsidP="00EC16DF">
            <w:pPr>
              <w:spacing w:after="0" w:line="240" w:lineRule="auto"/>
              <w:ind w:left="0" w:firstLine="0"/>
              <w:jc w:val="left"/>
              <w:rPr>
                <w:rFonts w:ascii="Arial" w:hAnsi="Arial" w:cs="Arial"/>
                <w:sz w:val="22"/>
              </w:rPr>
            </w:pPr>
            <w:r w:rsidRPr="00F4333B">
              <w:rPr>
                <w:rFonts w:ascii="Arial" w:hAnsi="Arial" w:cs="Arial"/>
                <w:sz w:val="22"/>
              </w:rPr>
              <w:t> </w:t>
            </w:r>
          </w:p>
        </w:tc>
        <w:tc>
          <w:tcPr>
            <w:tcW w:w="767" w:type="dxa"/>
            <w:tcBorders>
              <w:top w:val="nil"/>
              <w:left w:val="nil"/>
              <w:bottom w:val="nil"/>
              <w:right w:val="nil"/>
            </w:tcBorders>
            <w:shd w:val="clear" w:color="000000" w:fill="FFFFFF"/>
            <w:noWrap/>
            <w:vAlign w:val="bottom"/>
            <w:hideMark/>
          </w:tcPr>
          <w:p w14:paraId="4B2757CB" w14:textId="77777777" w:rsidR="00D13693" w:rsidRPr="00F4333B" w:rsidRDefault="00D13693" w:rsidP="00EC16DF">
            <w:pPr>
              <w:spacing w:after="0" w:line="240" w:lineRule="auto"/>
              <w:ind w:left="0" w:firstLine="0"/>
              <w:jc w:val="left"/>
              <w:rPr>
                <w:rFonts w:ascii="Arial" w:hAnsi="Arial" w:cs="Arial"/>
                <w:sz w:val="22"/>
              </w:rPr>
            </w:pPr>
            <w:r w:rsidRPr="00F4333B">
              <w:rPr>
                <w:rFonts w:ascii="Arial" w:hAnsi="Arial" w:cs="Arial"/>
                <w:sz w:val="22"/>
              </w:rPr>
              <w:t> </w:t>
            </w:r>
          </w:p>
        </w:tc>
        <w:tc>
          <w:tcPr>
            <w:tcW w:w="740" w:type="dxa"/>
            <w:tcBorders>
              <w:top w:val="nil"/>
              <w:left w:val="nil"/>
              <w:bottom w:val="nil"/>
              <w:right w:val="nil"/>
            </w:tcBorders>
            <w:shd w:val="clear" w:color="000000" w:fill="FFFFFF"/>
            <w:noWrap/>
            <w:vAlign w:val="bottom"/>
            <w:hideMark/>
          </w:tcPr>
          <w:p w14:paraId="3F5FD951" w14:textId="77777777" w:rsidR="00D13693" w:rsidRPr="00F4333B" w:rsidRDefault="00D13693" w:rsidP="00EC16DF">
            <w:pPr>
              <w:spacing w:after="0" w:line="240" w:lineRule="auto"/>
              <w:ind w:left="0" w:firstLine="0"/>
              <w:jc w:val="left"/>
              <w:rPr>
                <w:rFonts w:ascii="Arial" w:hAnsi="Arial" w:cs="Arial"/>
                <w:sz w:val="22"/>
              </w:rPr>
            </w:pPr>
            <w:r w:rsidRPr="00F4333B">
              <w:rPr>
                <w:rFonts w:ascii="Arial" w:hAnsi="Arial" w:cs="Arial"/>
                <w:sz w:val="22"/>
              </w:rPr>
              <w:t> </w:t>
            </w:r>
          </w:p>
        </w:tc>
        <w:tc>
          <w:tcPr>
            <w:tcW w:w="719" w:type="dxa"/>
            <w:tcBorders>
              <w:top w:val="nil"/>
              <w:left w:val="nil"/>
              <w:bottom w:val="nil"/>
              <w:right w:val="nil"/>
            </w:tcBorders>
            <w:shd w:val="clear" w:color="000000" w:fill="FFFFFF"/>
            <w:noWrap/>
            <w:vAlign w:val="bottom"/>
            <w:hideMark/>
          </w:tcPr>
          <w:p w14:paraId="5B20D8B5" w14:textId="77777777" w:rsidR="00D13693" w:rsidRPr="00F4333B" w:rsidRDefault="00D13693" w:rsidP="00EC16DF">
            <w:pPr>
              <w:spacing w:after="0" w:line="240" w:lineRule="auto"/>
              <w:ind w:left="0" w:firstLine="0"/>
              <w:jc w:val="left"/>
              <w:rPr>
                <w:rFonts w:ascii="Arial" w:hAnsi="Arial" w:cs="Arial"/>
                <w:sz w:val="22"/>
              </w:rPr>
            </w:pPr>
            <w:r w:rsidRPr="00F4333B">
              <w:rPr>
                <w:rFonts w:ascii="Arial" w:hAnsi="Arial" w:cs="Arial"/>
                <w:sz w:val="22"/>
              </w:rPr>
              <w:t> </w:t>
            </w:r>
          </w:p>
        </w:tc>
      </w:tr>
      <w:tr w:rsidR="00D13693" w:rsidRPr="00F4333B" w14:paraId="6B5B03BA" w14:textId="77777777" w:rsidTr="00EC16DF">
        <w:trPr>
          <w:trHeight w:val="300"/>
        </w:trPr>
        <w:tc>
          <w:tcPr>
            <w:tcW w:w="200" w:type="dxa"/>
            <w:tcBorders>
              <w:top w:val="single" w:sz="4" w:space="0" w:color="D9D9D9"/>
              <w:left w:val="single" w:sz="4" w:space="0" w:color="D9D9D9"/>
              <w:bottom w:val="single" w:sz="4" w:space="0" w:color="D9D9D9"/>
              <w:right w:val="single" w:sz="4" w:space="0" w:color="D9D9D9"/>
            </w:tcBorders>
            <w:shd w:val="clear" w:color="000000" w:fill="193296"/>
            <w:vAlign w:val="center"/>
            <w:hideMark/>
          </w:tcPr>
          <w:p w14:paraId="5E396ADC" w14:textId="77777777" w:rsidR="00D13693" w:rsidRPr="00F4333B" w:rsidRDefault="00D13693" w:rsidP="00EC16DF">
            <w:pPr>
              <w:spacing w:after="0" w:line="240" w:lineRule="auto"/>
              <w:ind w:left="0" w:firstLine="0"/>
              <w:jc w:val="center"/>
              <w:rPr>
                <w:rFonts w:ascii="Arial" w:hAnsi="Arial" w:cs="Arial"/>
                <w:b/>
                <w:bCs/>
                <w:color w:val="FFFFFF"/>
                <w:sz w:val="16"/>
                <w:szCs w:val="16"/>
              </w:rPr>
            </w:pPr>
            <w:r w:rsidRPr="00F4333B">
              <w:rPr>
                <w:rFonts w:ascii="Arial" w:hAnsi="Arial" w:cs="Arial"/>
                <w:b/>
                <w:bCs/>
                <w:color w:val="FFFFFF"/>
                <w:sz w:val="16"/>
                <w:szCs w:val="16"/>
              </w:rPr>
              <w:t>#</w:t>
            </w:r>
          </w:p>
        </w:tc>
        <w:tc>
          <w:tcPr>
            <w:tcW w:w="331" w:type="dxa"/>
            <w:tcBorders>
              <w:top w:val="nil"/>
              <w:left w:val="nil"/>
              <w:bottom w:val="single" w:sz="4" w:space="0" w:color="D9D9D9"/>
              <w:right w:val="single" w:sz="4" w:space="0" w:color="D9D9D9"/>
            </w:tcBorders>
            <w:shd w:val="clear" w:color="000000" w:fill="193296"/>
            <w:vAlign w:val="center"/>
            <w:hideMark/>
          </w:tcPr>
          <w:p w14:paraId="5BC5685D" w14:textId="77777777" w:rsidR="00D13693" w:rsidRPr="00F4333B" w:rsidRDefault="00D13693" w:rsidP="00EC16DF">
            <w:pPr>
              <w:spacing w:after="0" w:line="240" w:lineRule="auto"/>
              <w:ind w:left="0" w:firstLine="0"/>
              <w:jc w:val="center"/>
              <w:rPr>
                <w:rFonts w:ascii="Arial" w:hAnsi="Arial" w:cs="Arial"/>
                <w:b/>
                <w:bCs/>
                <w:color w:val="FFFFFF"/>
                <w:sz w:val="16"/>
                <w:szCs w:val="16"/>
              </w:rPr>
            </w:pPr>
            <w:r w:rsidRPr="00F4333B">
              <w:rPr>
                <w:rFonts w:ascii="Arial" w:hAnsi="Arial" w:cs="Arial"/>
                <w:b/>
                <w:bCs/>
                <w:color w:val="FFFFFF"/>
                <w:sz w:val="16"/>
                <w:szCs w:val="16"/>
              </w:rPr>
              <w:t>Further detail</w:t>
            </w:r>
          </w:p>
        </w:tc>
        <w:tc>
          <w:tcPr>
            <w:tcW w:w="870" w:type="dxa"/>
            <w:tcBorders>
              <w:top w:val="single" w:sz="4" w:space="0" w:color="D9D9D9"/>
              <w:left w:val="nil"/>
              <w:bottom w:val="single" w:sz="4" w:space="0" w:color="D9D9D9"/>
              <w:right w:val="single" w:sz="4" w:space="0" w:color="D9D9D9"/>
            </w:tcBorders>
            <w:shd w:val="clear" w:color="000000" w:fill="193296"/>
            <w:vAlign w:val="center"/>
            <w:hideMark/>
          </w:tcPr>
          <w:p w14:paraId="3F41ADF3" w14:textId="77777777" w:rsidR="00D13693" w:rsidRPr="00F4333B" w:rsidRDefault="00D13693" w:rsidP="00EC16DF">
            <w:pPr>
              <w:spacing w:after="0" w:line="240" w:lineRule="auto"/>
              <w:ind w:left="0" w:firstLine="0"/>
              <w:jc w:val="center"/>
              <w:rPr>
                <w:rFonts w:ascii="Arial" w:hAnsi="Arial" w:cs="Arial"/>
                <w:b/>
                <w:bCs/>
                <w:color w:val="FFFFFF"/>
                <w:sz w:val="16"/>
                <w:szCs w:val="16"/>
              </w:rPr>
            </w:pPr>
            <w:r w:rsidRPr="00F4333B">
              <w:rPr>
                <w:rFonts w:ascii="Arial" w:hAnsi="Arial" w:cs="Arial"/>
                <w:b/>
                <w:bCs/>
                <w:color w:val="FFFFFF"/>
                <w:sz w:val="16"/>
                <w:szCs w:val="16"/>
              </w:rPr>
              <w:t xml:space="preserve">Belgium </w:t>
            </w:r>
          </w:p>
        </w:tc>
        <w:tc>
          <w:tcPr>
            <w:tcW w:w="638" w:type="dxa"/>
            <w:tcBorders>
              <w:top w:val="single" w:sz="4" w:space="0" w:color="D9D9D9"/>
              <w:left w:val="nil"/>
              <w:bottom w:val="single" w:sz="4" w:space="0" w:color="D9D9D9"/>
              <w:right w:val="single" w:sz="4" w:space="0" w:color="D9D9D9"/>
            </w:tcBorders>
            <w:shd w:val="clear" w:color="000000" w:fill="193296"/>
            <w:vAlign w:val="center"/>
            <w:hideMark/>
          </w:tcPr>
          <w:p w14:paraId="55BB07E9" w14:textId="77777777" w:rsidR="00D13693" w:rsidRPr="00F4333B" w:rsidRDefault="00D13693" w:rsidP="00EC16DF">
            <w:pPr>
              <w:spacing w:after="0" w:line="240" w:lineRule="auto"/>
              <w:ind w:left="0" w:firstLine="0"/>
              <w:jc w:val="center"/>
              <w:rPr>
                <w:rFonts w:ascii="Arial" w:hAnsi="Arial" w:cs="Arial"/>
                <w:b/>
                <w:bCs/>
                <w:color w:val="FFFFFF"/>
                <w:sz w:val="16"/>
                <w:szCs w:val="16"/>
              </w:rPr>
            </w:pPr>
            <w:r w:rsidRPr="00F4333B">
              <w:rPr>
                <w:rFonts w:ascii="Arial" w:hAnsi="Arial" w:cs="Arial"/>
                <w:b/>
                <w:bCs/>
                <w:color w:val="FFFFFF"/>
                <w:sz w:val="16"/>
                <w:szCs w:val="16"/>
              </w:rPr>
              <w:t>Finland</w:t>
            </w:r>
          </w:p>
        </w:tc>
        <w:tc>
          <w:tcPr>
            <w:tcW w:w="778" w:type="dxa"/>
            <w:tcBorders>
              <w:top w:val="single" w:sz="4" w:space="0" w:color="D9D9D9"/>
              <w:left w:val="nil"/>
              <w:bottom w:val="single" w:sz="4" w:space="0" w:color="D9D9D9"/>
              <w:right w:val="single" w:sz="4" w:space="0" w:color="D9D9D9"/>
            </w:tcBorders>
            <w:shd w:val="clear" w:color="000000" w:fill="193296"/>
            <w:vAlign w:val="center"/>
            <w:hideMark/>
          </w:tcPr>
          <w:p w14:paraId="032B5E2C" w14:textId="77777777" w:rsidR="00D13693" w:rsidRPr="00F4333B" w:rsidRDefault="00D13693" w:rsidP="00EC16DF">
            <w:pPr>
              <w:spacing w:after="0" w:line="240" w:lineRule="auto"/>
              <w:ind w:left="0" w:firstLine="0"/>
              <w:jc w:val="center"/>
              <w:rPr>
                <w:rFonts w:ascii="Arial" w:hAnsi="Arial" w:cs="Arial"/>
                <w:b/>
                <w:bCs/>
                <w:color w:val="FFFFFF"/>
                <w:sz w:val="16"/>
                <w:szCs w:val="16"/>
              </w:rPr>
            </w:pPr>
            <w:r w:rsidRPr="00F4333B">
              <w:rPr>
                <w:rFonts w:ascii="Arial" w:hAnsi="Arial" w:cs="Arial"/>
                <w:b/>
                <w:bCs/>
                <w:color w:val="FFFFFF"/>
                <w:sz w:val="16"/>
                <w:szCs w:val="16"/>
              </w:rPr>
              <w:t>France</w:t>
            </w:r>
          </w:p>
        </w:tc>
        <w:tc>
          <w:tcPr>
            <w:tcW w:w="816" w:type="dxa"/>
            <w:tcBorders>
              <w:top w:val="single" w:sz="4" w:space="0" w:color="D9D9D9"/>
              <w:left w:val="nil"/>
              <w:bottom w:val="single" w:sz="4" w:space="0" w:color="D9D9D9"/>
              <w:right w:val="single" w:sz="4" w:space="0" w:color="D9D9D9"/>
            </w:tcBorders>
            <w:shd w:val="clear" w:color="000000" w:fill="193296"/>
            <w:vAlign w:val="center"/>
            <w:hideMark/>
          </w:tcPr>
          <w:p w14:paraId="31C8805F" w14:textId="77777777" w:rsidR="00D13693" w:rsidRPr="00F4333B" w:rsidRDefault="00D13693" w:rsidP="00EC16DF">
            <w:pPr>
              <w:spacing w:after="0" w:line="240" w:lineRule="auto"/>
              <w:ind w:left="0" w:firstLine="0"/>
              <w:jc w:val="center"/>
              <w:rPr>
                <w:rFonts w:ascii="Arial" w:hAnsi="Arial" w:cs="Arial"/>
                <w:b/>
                <w:bCs/>
                <w:color w:val="FFFFFF"/>
                <w:sz w:val="16"/>
                <w:szCs w:val="16"/>
              </w:rPr>
            </w:pPr>
            <w:r w:rsidRPr="00F4333B">
              <w:rPr>
                <w:rFonts w:ascii="Arial" w:hAnsi="Arial" w:cs="Arial"/>
                <w:b/>
                <w:bCs/>
                <w:color w:val="FFFFFF"/>
                <w:sz w:val="16"/>
                <w:szCs w:val="16"/>
              </w:rPr>
              <w:t xml:space="preserve">Germany </w:t>
            </w:r>
          </w:p>
        </w:tc>
        <w:tc>
          <w:tcPr>
            <w:tcW w:w="848" w:type="dxa"/>
            <w:tcBorders>
              <w:top w:val="single" w:sz="4" w:space="0" w:color="D9D9D9"/>
              <w:left w:val="nil"/>
              <w:bottom w:val="single" w:sz="4" w:space="0" w:color="D9D9D9"/>
              <w:right w:val="single" w:sz="4" w:space="0" w:color="D9D9D9"/>
            </w:tcBorders>
            <w:shd w:val="clear" w:color="000000" w:fill="193296"/>
            <w:vAlign w:val="center"/>
            <w:hideMark/>
          </w:tcPr>
          <w:p w14:paraId="73F193CD" w14:textId="77777777" w:rsidR="00D13693" w:rsidRPr="00F4333B" w:rsidRDefault="00D13693" w:rsidP="00EC16DF">
            <w:pPr>
              <w:spacing w:after="0" w:line="240" w:lineRule="auto"/>
              <w:ind w:left="0" w:firstLine="0"/>
              <w:jc w:val="center"/>
              <w:rPr>
                <w:rFonts w:ascii="Arial" w:hAnsi="Arial" w:cs="Arial"/>
                <w:b/>
                <w:bCs/>
                <w:color w:val="FFFFFF"/>
                <w:sz w:val="16"/>
                <w:szCs w:val="16"/>
              </w:rPr>
            </w:pPr>
            <w:r w:rsidRPr="00F4333B">
              <w:rPr>
                <w:rFonts w:ascii="Arial" w:hAnsi="Arial" w:cs="Arial"/>
                <w:b/>
                <w:bCs/>
                <w:color w:val="FFFFFF"/>
                <w:sz w:val="16"/>
                <w:szCs w:val="16"/>
              </w:rPr>
              <w:t>Ireland</w:t>
            </w:r>
          </w:p>
        </w:tc>
        <w:tc>
          <w:tcPr>
            <w:tcW w:w="854" w:type="dxa"/>
            <w:tcBorders>
              <w:top w:val="single" w:sz="4" w:space="0" w:color="D9D9D9"/>
              <w:left w:val="nil"/>
              <w:bottom w:val="single" w:sz="4" w:space="0" w:color="D9D9D9"/>
              <w:right w:val="single" w:sz="4" w:space="0" w:color="D9D9D9"/>
            </w:tcBorders>
            <w:shd w:val="clear" w:color="000000" w:fill="193296"/>
            <w:vAlign w:val="center"/>
            <w:hideMark/>
          </w:tcPr>
          <w:p w14:paraId="15C027C5" w14:textId="77777777" w:rsidR="00D13693" w:rsidRPr="00F4333B" w:rsidRDefault="00D13693" w:rsidP="00EC16DF">
            <w:pPr>
              <w:spacing w:after="0" w:line="240" w:lineRule="auto"/>
              <w:ind w:left="0" w:firstLine="0"/>
              <w:jc w:val="center"/>
              <w:rPr>
                <w:rFonts w:ascii="Arial" w:hAnsi="Arial" w:cs="Arial"/>
                <w:b/>
                <w:bCs/>
                <w:color w:val="FFFFFF"/>
                <w:sz w:val="16"/>
                <w:szCs w:val="16"/>
              </w:rPr>
            </w:pPr>
            <w:r w:rsidRPr="00F4333B">
              <w:rPr>
                <w:rFonts w:ascii="Arial" w:hAnsi="Arial" w:cs="Arial"/>
                <w:b/>
                <w:bCs/>
                <w:color w:val="FFFFFF"/>
                <w:sz w:val="16"/>
                <w:szCs w:val="16"/>
              </w:rPr>
              <w:t>Italy</w:t>
            </w:r>
          </w:p>
        </w:tc>
        <w:tc>
          <w:tcPr>
            <w:tcW w:w="854" w:type="dxa"/>
            <w:tcBorders>
              <w:top w:val="single" w:sz="4" w:space="0" w:color="D9D9D9"/>
              <w:left w:val="nil"/>
              <w:bottom w:val="single" w:sz="4" w:space="0" w:color="D9D9D9"/>
              <w:right w:val="single" w:sz="4" w:space="0" w:color="D9D9D9"/>
            </w:tcBorders>
            <w:shd w:val="clear" w:color="000000" w:fill="193296"/>
            <w:vAlign w:val="center"/>
            <w:hideMark/>
          </w:tcPr>
          <w:p w14:paraId="07C273A2" w14:textId="77777777" w:rsidR="00D13693" w:rsidRPr="00F4333B" w:rsidRDefault="00D13693" w:rsidP="00EC16DF">
            <w:pPr>
              <w:spacing w:after="0" w:line="240" w:lineRule="auto"/>
              <w:ind w:left="0" w:firstLine="0"/>
              <w:jc w:val="center"/>
              <w:rPr>
                <w:rFonts w:ascii="Arial" w:hAnsi="Arial" w:cs="Arial"/>
                <w:b/>
                <w:bCs/>
                <w:color w:val="FFFFFF"/>
                <w:sz w:val="16"/>
                <w:szCs w:val="16"/>
              </w:rPr>
            </w:pPr>
            <w:r w:rsidRPr="00F4333B">
              <w:rPr>
                <w:rFonts w:ascii="Arial" w:hAnsi="Arial" w:cs="Arial"/>
                <w:b/>
                <w:bCs/>
                <w:color w:val="FFFFFF"/>
                <w:sz w:val="16"/>
                <w:szCs w:val="16"/>
              </w:rPr>
              <w:t xml:space="preserve">Luxembourg </w:t>
            </w:r>
          </w:p>
        </w:tc>
        <w:tc>
          <w:tcPr>
            <w:tcW w:w="945" w:type="dxa"/>
            <w:tcBorders>
              <w:top w:val="single" w:sz="4" w:space="0" w:color="D9D9D9"/>
              <w:left w:val="nil"/>
              <w:bottom w:val="single" w:sz="4" w:space="0" w:color="D9D9D9"/>
              <w:right w:val="single" w:sz="4" w:space="0" w:color="D9D9D9"/>
            </w:tcBorders>
            <w:shd w:val="clear" w:color="000000" w:fill="193296"/>
            <w:vAlign w:val="center"/>
            <w:hideMark/>
          </w:tcPr>
          <w:p w14:paraId="49DAB0C5" w14:textId="77777777" w:rsidR="00D13693" w:rsidRPr="00F4333B" w:rsidRDefault="00D13693" w:rsidP="00EC16DF">
            <w:pPr>
              <w:spacing w:after="0" w:line="240" w:lineRule="auto"/>
              <w:ind w:left="0" w:firstLine="0"/>
              <w:jc w:val="center"/>
              <w:rPr>
                <w:rFonts w:ascii="Arial" w:hAnsi="Arial" w:cs="Arial"/>
                <w:b/>
                <w:bCs/>
                <w:color w:val="FFFFFF"/>
                <w:sz w:val="16"/>
                <w:szCs w:val="16"/>
              </w:rPr>
            </w:pPr>
            <w:proofErr w:type="spellStart"/>
            <w:r w:rsidRPr="00F4333B">
              <w:rPr>
                <w:rFonts w:ascii="Arial" w:hAnsi="Arial" w:cs="Arial"/>
                <w:b/>
                <w:bCs/>
                <w:color w:val="FFFFFF"/>
                <w:sz w:val="16"/>
                <w:szCs w:val="16"/>
              </w:rPr>
              <w:t>Regulatedrway</w:t>
            </w:r>
            <w:proofErr w:type="spellEnd"/>
          </w:p>
        </w:tc>
        <w:tc>
          <w:tcPr>
            <w:tcW w:w="767" w:type="dxa"/>
            <w:tcBorders>
              <w:top w:val="single" w:sz="4" w:space="0" w:color="D9D9D9"/>
              <w:left w:val="nil"/>
              <w:bottom w:val="single" w:sz="4" w:space="0" w:color="D9D9D9"/>
              <w:right w:val="single" w:sz="4" w:space="0" w:color="D9D9D9"/>
            </w:tcBorders>
            <w:shd w:val="clear" w:color="000000" w:fill="193296"/>
            <w:vAlign w:val="center"/>
            <w:hideMark/>
          </w:tcPr>
          <w:p w14:paraId="65BC41C4" w14:textId="77777777" w:rsidR="00D13693" w:rsidRPr="00F4333B" w:rsidRDefault="00D13693" w:rsidP="00EC16DF">
            <w:pPr>
              <w:spacing w:after="0" w:line="240" w:lineRule="auto"/>
              <w:ind w:left="0" w:firstLine="0"/>
              <w:jc w:val="center"/>
              <w:rPr>
                <w:rFonts w:ascii="Arial" w:hAnsi="Arial" w:cs="Arial"/>
                <w:b/>
                <w:bCs/>
                <w:color w:val="FFFFFF"/>
                <w:sz w:val="16"/>
                <w:szCs w:val="16"/>
              </w:rPr>
            </w:pPr>
            <w:r w:rsidRPr="00F4333B">
              <w:rPr>
                <w:rFonts w:ascii="Arial" w:hAnsi="Arial" w:cs="Arial"/>
                <w:b/>
                <w:bCs/>
                <w:color w:val="FFFFFF"/>
                <w:sz w:val="16"/>
                <w:szCs w:val="16"/>
              </w:rPr>
              <w:t>Netherlands</w:t>
            </w:r>
          </w:p>
        </w:tc>
        <w:tc>
          <w:tcPr>
            <w:tcW w:w="740" w:type="dxa"/>
            <w:tcBorders>
              <w:top w:val="single" w:sz="4" w:space="0" w:color="D9D9D9"/>
              <w:left w:val="nil"/>
              <w:bottom w:val="single" w:sz="4" w:space="0" w:color="D9D9D9"/>
              <w:right w:val="single" w:sz="4" w:space="0" w:color="D9D9D9"/>
            </w:tcBorders>
            <w:shd w:val="clear" w:color="000000" w:fill="193296"/>
            <w:vAlign w:val="center"/>
            <w:hideMark/>
          </w:tcPr>
          <w:p w14:paraId="0233F1FF" w14:textId="77777777" w:rsidR="00D13693" w:rsidRPr="00F4333B" w:rsidRDefault="00D13693" w:rsidP="00EC16DF">
            <w:pPr>
              <w:spacing w:after="0" w:line="240" w:lineRule="auto"/>
              <w:ind w:left="0" w:firstLine="0"/>
              <w:jc w:val="center"/>
              <w:rPr>
                <w:rFonts w:ascii="Arial" w:hAnsi="Arial" w:cs="Arial"/>
                <w:b/>
                <w:bCs/>
                <w:color w:val="FFFFFF"/>
                <w:sz w:val="16"/>
                <w:szCs w:val="16"/>
              </w:rPr>
            </w:pPr>
            <w:r w:rsidRPr="00F4333B">
              <w:rPr>
                <w:rFonts w:ascii="Arial" w:hAnsi="Arial" w:cs="Arial"/>
                <w:b/>
                <w:bCs/>
                <w:color w:val="FFFFFF"/>
                <w:sz w:val="16"/>
                <w:szCs w:val="16"/>
              </w:rPr>
              <w:t xml:space="preserve">Spain </w:t>
            </w:r>
          </w:p>
        </w:tc>
        <w:tc>
          <w:tcPr>
            <w:tcW w:w="719" w:type="dxa"/>
            <w:tcBorders>
              <w:top w:val="single" w:sz="4" w:space="0" w:color="D9D9D9"/>
              <w:left w:val="nil"/>
              <w:bottom w:val="single" w:sz="4" w:space="0" w:color="D9D9D9"/>
              <w:right w:val="single" w:sz="4" w:space="0" w:color="D9D9D9"/>
            </w:tcBorders>
            <w:shd w:val="clear" w:color="000000" w:fill="193296"/>
            <w:vAlign w:val="center"/>
            <w:hideMark/>
          </w:tcPr>
          <w:p w14:paraId="1DD7656F" w14:textId="77777777" w:rsidR="00D13693" w:rsidRPr="00F4333B" w:rsidRDefault="00D13693" w:rsidP="00EC16DF">
            <w:pPr>
              <w:spacing w:after="0" w:line="240" w:lineRule="auto"/>
              <w:ind w:left="0" w:firstLine="0"/>
              <w:jc w:val="center"/>
              <w:rPr>
                <w:rFonts w:ascii="Arial" w:hAnsi="Arial" w:cs="Arial"/>
                <w:b/>
                <w:bCs/>
                <w:color w:val="FFFFFF"/>
                <w:sz w:val="16"/>
                <w:szCs w:val="16"/>
              </w:rPr>
            </w:pPr>
            <w:r w:rsidRPr="00F4333B">
              <w:rPr>
                <w:rFonts w:ascii="Arial" w:hAnsi="Arial" w:cs="Arial"/>
                <w:b/>
                <w:bCs/>
                <w:color w:val="FFFFFF"/>
                <w:sz w:val="16"/>
                <w:szCs w:val="16"/>
              </w:rPr>
              <w:t>Sweden</w:t>
            </w:r>
          </w:p>
        </w:tc>
      </w:tr>
      <w:tr w:rsidR="00D13693" w:rsidRPr="00F4333B" w14:paraId="19DAF94A" w14:textId="77777777" w:rsidTr="00EC16DF">
        <w:trPr>
          <w:trHeight w:val="765"/>
        </w:trPr>
        <w:tc>
          <w:tcPr>
            <w:tcW w:w="200" w:type="dxa"/>
            <w:tcBorders>
              <w:top w:val="nil"/>
              <w:left w:val="single" w:sz="4" w:space="0" w:color="D9D9D9"/>
              <w:bottom w:val="single" w:sz="4" w:space="0" w:color="D9D9D9"/>
              <w:right w:val="single" w:sz="4" w:space="0" w:color="D9D9D9"/>
            </w:tcBorders>
            <w:shd w:val="clear" w:color="000000" w:fill="FFFF00"/>
            <w:vAlign w:val="center"/>
            <w:hideMark/>
          </w:tcPr>
          <w:p w14:paraId="1DAAF474" w14:textId="77777777" w:rsidR="00D13693" w:rsidRPr="00F4333B" w:rsidRDefault="00D13693" w:rsidP="00EC16DF">
            <w:pPr>
              <w:spacing w:after="0" w:line="240" w:lineRule="auto"/>
              <w:ind w:left="0" w:firstLine="0"/>
              <w:jc w:val="center"/>
              <w:rPr>
                <w:rFonts w:ascii="Arial" w:hAnsi="Arial" w:cs="Arial"/>
                <w:sz w:val="16"/>
                <w:szCs w:val="16"/>
              </w:rPr>
            </w:pPr>
            <w:r w:rsidRPr="00F4333B">
              <w:rPr>
                <w:rFonts w:ascii="Arial" w:hAnsi="Arial" w:cs="Arial"/>
                <w:sz w:val="16"/>
                <w:szCs w:val="16"/>
              </w:rPr>
              <w:t xml:space="preserve"> </w:t>
            </w:r>
          </w:p>
        </w:tc>
        <w:tc>
          <w:tcPr>
            <w:tcW w:w="331" w:type="dxa"/>
            <w:tcBorders>
              <w:top w:val="nil"/>
              <w:left w:val="nil"/>
              <w:bottom w:val="single" w:sz="4" w:space="0" w:color="D9D9D9"/>
              <w:right w:val="single" w:sz="4" w:space="0" w:color="D9D9D9"/>
            </w:tcBorders>
            <w:shd w:val="clear" w:color="000000" w:fill="FFFFFF"/>
            <w:vAlign w:val="bottom"/>
            <w:hideMark/>
          </w:tcPr>
          <w:p w14:paraId="4270BF9C"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Deposit taking, account bank</w:t>
            </w:r>
          </w:p>
        </w:tc>
        <w:tc>
          <w:tcPr>
            <w:tcW w:w="870" w:type="dxa"/>
            <w:tcBorders>
              <w:top w:val="nil"/>
              <w:left w:val="nil"/>
              <w:bottom w:val="single" w:sz="4" w:space="0" w:color="D9D9D9"/>
              <w:right w:val="single" w:sz="4" w:space="0" w:color="D9D9D9"/>
            </w:tcBorders>
            <w:shd w:val="clear" w:color="000000" w:fill="FF0000"/>
            <w:vAlign w:val="center"/>
            <w:hideMark/>
          </w:tcPr>
          <w:p w14:paraId="7A73A9B9"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638" w:type="dxa"/>
            <w:tcBorders>
              <w:top w:val="nil"/>
              <w:left w:val="nil"/>
              <w:bottom w:val="single" w:sz="4" w:space="0" w:color="D9D9D9"/>
              <w:right w:val="single" w:sz="4" w:space="0" w:color="D9D9D9"/>
            </w:tcBorders>
            <w:shd w:val="clear" w:color="000000" w:fill="FF0000"/>
            <w:vAlign w:val="center"/>
            <w:hideMark/>
          </w:tcPr>
          <w:p w14:paraId="4243072F"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778" w:type="dxa"/>
            <w:tcBorders>
              <w:top w:val="nil"/>
              <w:left w:val="nil"/>
              <w:bottom w:val="single" w:sz="4" w:space="0" w:color="D9D9D9"/>
              <w:right w:val="single" w:sz="4" w:space="0" w:color="D9D9D9"/>
            </w:tcBorders>
            <w:shd w:val="clear" w:color="000000" w:fill="FF0000"/>
            <w:vAlign w:val="center"/>
            <w:hideMark/>
          </w:tcPr>
          <w:p w14:paraId="20775BFC"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816" w:type="dxa"/>
            <w:tcBorders>
              <w:top w:val="nil"/>
              <w:left w:val="nil"/>
              <w:bottom w:val="single" w:sz="4" w:space="0" w:color="D9D9D9"/>
              <w:right w:val="single" w:sz="4" w:space="0" w:color="D9D9D9"/>
            </w:tcBorders>
            <w:shd w:val="clear" w:color="000000" w:fill="FFC000"/>
            <w:vAlign w:val="center"/>
            <w:hideMark/>
          </w:tcPr>
          <w:p w14:paraId="1E109815"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Discretionary waiver available but only in respect of professional clients</w:t>
            </w:r>
          </w:p>
        </w:tc>
        <w:tc>
          <w:tcPr>
            <w:tcW w:w="848" w:type="dxa"/>
            <w:tcBorders>
              <w:top w:val="nil"/>
              <w:left w:val="nil"/>
              <w:bottom w:val="single" w:sz="4" w:space="0" w:color="D9D9D9"/>
              <w:right w:val="single" w:sz="4" w:space="0" w:color="D9D9D9"/>
            </w:tcBorders>
            <w:shd w:val="clear" w:color="000000" w:fill="FF0000"/>
            <w:vAlign w:val="center"/>
            <w:hideMark/>
          </w:tcPr>
          <w:p w14:paraId="7DA726AE"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854" w:type="dxa"/>
            <w:tcBorders>
              <w:top w:val="nil"/>
              <w:left w:val="nil"/>
              <w:bottom w:val="single" w:sz="4" w:space="0" w:color="D9D9D9"/>
              <w:right w:val="single" w:sz="4" w:space="0" w:color="D9D9D9"/>
            </w:tcBorders>
            <w:shd w:val="clear" w:color="000000" w:fill="FF0000"/>
            <w:vAlign w:val="center"/>
            <w:hideMark/>
          </w:tcPr>
          <w:p w14:paraId="1083E53D"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854" w:type="dxa"/>
            <w:tcBorders>
              <w:top w:val="nil"/>
              <w:left w:val="nil"/>
              <w:bottom w:val="single" w:sz="4" w:space="0" w:color="D9D9D9"/>
              <w:right w:val="single" w:sz="4" w:space="0" w:color="D9D9D9"/>
            </w:tcBorders>
            <w:shd w:val="clear" w:color="000000" w:fill="FF0000"/>
            <w:vAlign w:val="center"/>
            <w:hideMark/>
          </w:tcPr>
          <w:p w14:paraId="2EFE0ABC"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945" w:type="dxa"/>
            <w:tcBorders>
              <w:top w:val="nil"/>
              <w:left w:val="nil"/>
              <w:bottom w:val="single" w:sz="4" w:space="0" w:color="D9D9D9"/>
              <w:right w:val="single" w:sz="4" w:space="0" w:color="D9D9D9"/>
            </w:tcBorders>
            <w:shd w:val="clear" w:color="000000" w:fill="FF0000"/>
            <w:vAlign w:val="center"/>
            <w:hideMark/>
          </w:tcPr>
          <w:p w14:paraId="62EEA344"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767" w:type="dxa"/>
            <w:tcBorders>
              <w:top w:val="nil"/>
              <w:left w:val="nil"/>
              <w:bottom w:val="single" w:sz="4" w:space="0" w:color="D9D9D9"/>
              <w:right w:val="single" w:sz="4" w:space="0" w:color="D9D9D9"/>
            </w:tcBorders>
            <w:shd w:val="clear" w:color="000000" w:fill="FF0000"/>
            <w:vAlign w:val="center"/>
            <w:hideMark/>
          </w:tcPr>
          <w:p w14:paraId="77FA40CA"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740" w:type="dxa"/>
            <w:tcBorders>
              <w:top w:val="nil"/>
              <w:left w:val="nil"/>
              <w:bottom w:val="single" w:sz="4" w:space="0" w:color="D9D9D9"/>
              <w:right w:val="single" w:sz="4" w:space="0" w:color="D9D9D9"/>
            </w:tcBorders>
            <w:shd w:val="clear" w:color="000000" w:fill="FF0000"/>
            <w:vAlign w:val="center"/>
            <w:hideMark/>
          </w:tcPr>
          <w:p w14:paraId="56948476"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719" w:type="dxa"/>
            <w:tcBorders>
              <w:top w:val="nil"/>
              <w:left w:val="nil"/>
              <w:bottom w:val="single" w:sz="4" w:space="0" w:color="D9D9D9"/>
              <w:right w:val="single" w:sz="4" w:space="0" w:color="D9D9D9"/>
            </w:tcBorders>
            <w:shd w:val="clear" w:color="000000" w:fill="FF0000"/>
            <w:vAlign w:val="center"/>
            <w:hideMark/>
          </w:tcPr>
          <w:p w14:paraId="1AAA7F1B"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r>
      <w:tr w:rsidR="00D13693" w:rsidRPr="00F4333B" w14:paraId="03BAE872" w14:textId="77777777" w:rsidTr="00EC16DF">
        <w:trPr>
          <w:trHeight w:val="765"/>
        </w:trPr>
        <w:tc>
          <w:tcPr>
            <w:tcW w:w="200" w:type="dxa"/>
            <w:tcBorders>
              <w:top w:val="nil"/>
              <w:left w:val="single" w:sz="4" w:space="0" w:color="D9D9D9"/>
              <w:bottom w:val="single" w:sz="4" w:space="0" w:color="D9D9D9"/>
              <w:right w:val="single" w:sz="4" w:space="0" w:color="D9D9D9"/>
            </w:tcBorders>
            <w:shd w:val="clear" w:color="000000" w:fill="FFFF00"/>
            <w:vAlign w:val="center"/>
            <w:hideMark/>
          </w:tcPr>
          <w:p w14:paraId="009A547E" w14:textId="77777777" w:rsidR="00D13693" w:rsidRPr="00F4333B" w:rsidRDefault="00D13693" w:rsidP="00EC16DF">
            <w:pPr>
              <w:spacing w:after="0" w:line="240" w:lineRule="auto"/>
              <w:ind w:left="0" w:firstLine="0"/>
              <w:jc w:val="center"/>
              <w:rPr>
                <w:rFonts w:ascii="Arial" w:hAnsi="Arial" w:cs="Arial"/>
                <w:sz w:val="16"/>
                <w:szCs w:val="16"/>
              </w:rPr>
            </w:pPr>
            <w:r w:rsidRPr="00F4333B">
              <w:rPr>
                <w:rFonts w:ascii="Arial" w:hAnsi="Arial" w:cs="Arial"/>
                <w:sz w:val="16"/>
                <w:szCs w:val="16"/>
              </w:rPr>
              <w:t> </w:t>
            </w:r>
          </w:p>
        </w:tc>
        <w:tc>
          <w:tcPr>
            <w:tcW w:w="331" w:type="dxa"/>
            <w:tcBorders>
              <w:top w:val="nil"/>
              <w:left w:val="nil"/>
              <w:bottom w:val="single" w:sz="4" w:space="0" w:color="D9D9D9"/>
              <w:right w:val="single" w:sz="4" w:space="0" w:color="D9D9D9"/>
            </w:tcBorders>
            <w:shd w:val="clear" w:color="000000" w:fill="FFFFFF"/>
            <w:vAlign w:val="bottom"/>
            <w:hideMark/>
          </w:tcPr>
          <w:p w14:paraId="3BA819A0"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Standalone commercial lending</w:t>
            </w:r>
          </w:p>
        </w:tc>
        <w:tc>
          <w:tcPr>
            <w:tcW w:w="870" w:type="dxa"/>
            <w:tcBorders>
              <w:top w:val="nil"/>
              <w:left w:val="nil"/>
              <w:bottom w:val="single" w:sz="4" w:space="0" w:color="D9D9D9"/>
              <w:right w:val="single" w:sz="4" w:space="0" w:color="D9D9D9"/>
            </w:tcBorders>
            <w:shd w:val="clear" w:color="000000" w:fill="92D050"/>
            <w:vAlign w:val="center"/>
            <w:hideMark/>
          </w:tcPr>
          <w:p w14:paraId="3AEBDD47"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Unregulated</w:t>
            </w:r>
          </w:p>
        </w:tc>
        <w:tc>
          <w:tcPr>
            <w:tcW w:w="638" w:type="dxa"/>
            <w:tcBorders>
              <w:top w:val="nil"/>
              <w:left w:val="nil"/>
              <w:bottom w:val="single" w:sz="4" w:space="0" w:color="D9D9D9"/>
              <w:right w:val="single" w:sz="4" w:space="0" w:color="D9D9D9"/>
            </w:tcBorders>
            <w:shd w:val="clear" w:color="000000" w:fill="FF0000"/>
            <w:vAlign w:val="center"/>
            <w:hideMark/>
          </w:tcPr>
          <w:p w14:paraId="0594BD0C"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778" w:type="dxa"/>
            <w:tcBorders>
              <w:top w:val="nil"/>
              <w:left w:val="nil"/>
              <w:bottom w:val="single" w:sz="4" w:space="0" w:color="D9D9D9"/>
              <w:right w:val="single" w:sz="4" w:space="0" w:color="D9D9D9"/>
            </w:tcBorders>
            <w:shd w:val="clear" w:color="000000" w:fill="FF0000"/>
            <w:vAlign w:val="center"/>
            <w:hideMark/>
          </w:tcPr>
          <w:p w14:paraId="36251714"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816" w:type="dxa"/>
            <w:tcBorders>
              <w:top w:val="nil"/>
              <w:left w:val="nil"/>
              <w:bottom w:val="single" w:sz="4" w:space="0" w:color="D9D9D9"/>
              <w:right w:val="single" w:sz="4" w:space="0" w:color="D9D9D9"/>
            </w:tcBorders>
            <w:shd w:val="clear" w:color="000000" w:fill="FFC000"/>
            <w:vAlign w:val="center"/>
            <w:hideMark/>
          </w:tcPr>
          <w:p w14:paraId="47F32A10"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Discretionary waiver available but only in respect of professional clients</w:t>
            </w:r>
          </w:p>
        </w:tc>
        <w:tc>
          <w:tcPr>
            <w:tcW w:w="848" w:type="dxa"/>
            <w:tcBorders>
              <w:top w:val="nil"/>
              <w:left w:val="nil"/>
              <w:bottom w:val="single" w:sz="4" w:space="0" w:color="D9D9D9"/>
              <w:right w:val="single" w:sz="4" w:space="0" w:color="D9D9D9"/>
            </w:tcBorders>
            <w:shd w:val="clear" w:color="000000" w:fill="92D050"/>
            <w:vAlign w:val="center"/>
            <w:hideMark/>
          </w:tcPr>
          <w:p w14:paraId="56A192CF"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Unregulated</w:t>
            </w:r>
          </w:p>
        </w:tc>
        <w:tc>
          <w:tcPr>
            <w:tcW w:w="854" w:type="dxa"/>
            <w:tcBorders>
              <w:top w:val="nil"/>
              <w:left w:val="nil"/>
              <w:bottom w:val="single" w:sz="4" w:space="0" w:color="D9D9D9"/>
              <w:right w:val="single" w:sz="4" w:space="0" w:color="D9D9D9"/>
            </w:tcBorders>
            <w:shd w:val="clear" w:color="000000" w:fill="FF0000"/>
            <w:vAlign w:val="center"/>
            <w:hideMark/>
          </w:tcPr>
          <w:p w14:paraId="0F89F7BA"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854" w:type="dxa"/>
            <w:tcBorders>
              <w:top w:val="nil"/>
              <w:left w:val="nil"/>
              <w:bottom w:val="single" w:sz="4" w:space="0" w:color="D9D9D9"/>
              <w:right w:val="single" w:sz="4" w:space="0" w:color="D9D9D9"/>
            </w:tcBorders>
            <w:shd w:val="clear" w:color="000000" w:fill="FF0000"/>
            <w:vAlign w:val="center"/>
            <w:hideMark/>
          </w:tcPr>
          <w:p w14:paraId="3AF15CF5"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945" w:type="dxa"/>
            <w:tcBorders>
              <w:top w:val="nil"/>
              <w:left w:val="nil"/>
              <w:bottom w:val="single" w:sz="4" w:space="0" w:color="D9D9D9"/>
              <w:right w:val="single" w:sz="4" w:space="0" w:color="D9D9D9"/>
            </w:tcBorders>
            <w:shd w:val="clear" w:color="000000" w:fill="FF0000"/>
            <w:vAlign w:val="center"/>
            <w:hideMark/>
          </w:tcPr>
          <w:p w14:paraId="5887FA4B"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767" w:type="dxa"/>
            <w:tcBorders>
              <w:top w:val="nil"/>
              <w:left w:val="nil"/>
              <w:bottom w:val="single" w:sz="4" w:space="0" w:color="D9D9D9"/>
              <w:right w:val="single" w:sz="4" w:space="0" w:color="D9D9D9"/>
            </w:tcBorders>
            <w:shd w:val="clear" w:color="000000" w:fill="92D050"/>
            <w:vAlign w:val="center"/>
            <w:hideMark/>
          </w:tcPr>
          <w:p w14:paraId="739A0089"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Unregulated</w:t>
            </w:r>
          </w:p>
        </w:tc>
        <w:tc>
          <w:tcPr>
            <w:tcW w:w="740" w:type="dxa"/>
            <w:tcBorders>
              <w:top w:val="nil"/>
              <w:left w:val="nil"/>
              <w:bottom w:val="single" w:sz="4" w:space="0" w:color="D9D9D9"/>
              <w:right w:val="single" w:sz="4" w:space="0" w:color="D9D9D9"/>
            </w:tcBorders>
            <w:shd w:val="clear" w:color="000000" w:fill="FF0000"/>
            <w:vAlign w:val="center"/>
            <w:hideMark/>
          </w:tcPr>
          <w:p w14:paraId="76137A2F"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719" w:type="dxa"/>
            <w:tcBorders>
              <w:top w:val="nil"/>
              <w:left w:val="nil"/>
              <w:bottom w:val="single" w:sz="4" w:space="0" w:color="D9D9D9"/>
              <w:right w:val="single" w:sz="4" w:space="0" w:color="D9D9D9"/>
            </w:tcBorders>
            <w:shd w:val="clear" w:color="000000" w:fill="FF0000"/>
            <w:vAlign w:val="center"/>
            <w:hideMark/>
          </w:tcPr>
          <w:p w14:paraId="644344FF"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r>
      <w:tr w:rsidR="00D13693" w:rsidRPr="00F4333B" w14:paraId="538531D4" w14:textId="77777777" w:rsidTr="00EC16DF">
        <w:trPr>
          <w:trHeight w:val="765"/>
        </w:trPr>
        <w:tc>
          <w:tcPr>
            <w:tcW w:w="200" w:type="dxa"/>
            <w:tcBorders>
              <w:top w:val="nil"/>
              <w:left w:val="single" w:sz="4" w:space="0" w:color="D9D9D9"/>
              <w:bottom w:val="single" w:sz="4" w:space="0" w:color="D9D9D9"/>
              <w:right w:val="single" w:sz="4" w:space="0" w:color="D9D9D9"/>
            </w:tcBorders>
            <w:shd w:val="clear" w:color="000000" w:fill="FFFF00"/>
            <w:vAlign w:val="center"/>
            <w:hideMark/>
          </w:tcPr>
          <w:p w14:paraId="34740FEB" w14:textId="77777777" w:rsidR="00D13693" w:rsidRPr="00F4333B" w:rsidRDefault="00D13693" w:rsidP="00EC16DF">
            <w:pPr>
              <w:spacing w:after="0" w:line="240" w:lineRule="auto"/>
              <w:ind w:left="0" w:firstLine="0"/>
              <w:jc w:val="center"/>
              <w:rPr>
                <w:rFonts w:ascii="Arial" w:hAnsi="Arial" w:cs="Arial"/>
                <w:sz w:val="16"/>
                <w:szCs w:val="16"/>
              </w:rPr>
            </w:pPr>
            <w:r w:rsidRPr="00F4333B">
              <w:rPr>
                <w:rFonts w:ascii="Arial" w:hAnsi="Arial" w:cs="Arial"/>
                <w:sz w:val="16"/>
                <w:szCs w:val="16"/>
              </w:rPr>
              <w:t> </w:t>
            </w:r>
          </w:p>
        </w:tc>
        <w:tc>
          <w:tcPr>
            <w:tcW w:w="331" w:type="dxa"/>
            <w:tcBorders>
              <w:top w:val="nil"/>
              <w:left w:val="nil"/>
              <w:bottom w:val="single" w:sz="4" w:space="0" w:color="D9D9D9"/>
              <w:right w:val="single" w:sz="4" w:space="0" w:color="D9D9D9"/>
            </w:tcBorders>
            <w:shd w:val="clear" w:color="000000" w:fill="FFFFFF"/>
            <w:vAlign w:val="bottom"/>
            <w:hideMark/>
          </w:tcPr>
          <w:p w14:paraId="63936E2E"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Financial leasing  - commercial clients</w:t>
            </w:r>
          </w:p>
        </w:tc>
        <w:tc>
          <w:tcPr>
            <w:tcW w:w="870" w:type="dxa"/>
            <w:tcBorders>
              <w:top w:val="nil"/>
              <w:left w:val="nil"/>
              <w:bottom w:val="single" w:sz="4" w:space="0" w:color="D9D9D9"/>
              <w:right w:val="single" w:sz="4" w:space="0" w:color="D9D9D9"/>
            </w:tcBorders>
            <w:shd w:val="clear" w:color="000000" w:fill="FF0000"/>
            <w:vAlign w:val="center"/>
            <w:hideMark/>
          </w:tcPr>
          <w:p w14:paraId="29F6C350"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638" w:type="dxa"/>
            <w:tcBorders>
              <w:top w:val="nil"/>
              <w:left w:val="nil"/>
              <w:bottom w:val="single" w:sz="4" w:space="0" w:color="D9D9D9"/>
              <w:right w:val="single" w:sz="4" w:space="0" w:color="D9D9D9"/>
            </w:tcBorders>
            <w:shd w:val="clear" w:color="000000" w:fill="FF0000"/>
            <w:vAlign w:val="center"/>
            <w:hideMark/>
          </w:tcPr>
          <w:p w14:paraId="7AAF9D6A"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778" w:type="dxa"/>
            <w:tcBorders>
              <w:top w:val="nil"/>
              <w:left w:val="nil"/>
              <w:bottom w:val="single" w:sz="4" w:space="0" w:color="D9D9D9"/>
              <w:right w:val="single" w:sz="4" w:space="0" w:color="D9D9D9"/>
            </w:tcBorders>
            <w:shd w:val="clear" w:color="000000" w:fill="FF0000"/>
            <w:vAlign w:val="center"/>
            <w:hideMark/>
          </w:tcPr>
          <w:p w14:paraId="3E36E50B"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816" w:type="dxa"/>
            <w:tcBorders>
              <w:top w:val="nil"/>
              <w:left w:val="nil"/>
              <w:bottom w:val="single" w:sz="4" w:space="0" w:color="D9D9D9"/>
              <w:right w:val="single" w:sz="4" w:space="0" w:color="D9D9D9"/>
            </w:tcBorders>
            <w:shd w:val="clear" w:color="000000" w:fill="FFC000"/>
            <w:vAlign w:val="center"/>
            <w:hideMark/>
          </w:tcPr>
          <w:p w14:paraId="5AFDA273"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Discretionary waiver available but only in respect of professional clients</w:t>
            </w:r>
          </w:p>
        </w:tc>
        <w:tc>
          <w:tcPr>
            <w:tcW w:w="848" w:type="dxa"/>
            <w:tcBorders>
              <w:top w:val="nil"/>
              <w:left w:val="nil"/>
              <w:bottom w:val="single" w:sz="4" w:space="0" w:color="D9D9D9"/>
              <w:right w:val="single" w:sz="4" w:space="0" w:color="D9D9D9"/>
            </w:tcBorders>
            <w:shd w:val="clear" w:color="000000" w:fill="92D050"/>
            <w:vAlign w:val="center"/>
            <w:hideMark/>
          </w:tcPr>
          <w:p w14:paraId="4F4DEC3E"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Unregulated</w:t>
            </w:r>
          </w:p>
        </w:tc>
        <w:tc>
          <w:tcPr>
            <w:tcW w:w="854" w:type="dxa"/>
            <w:tcBorders>
              <w:top w:val="nil"/>
              <w:left w:val="nil"/>
              <w:bottom w:val="single" w:sz="4" w:space="0" w:color="D9D9D9"/>
              <w:right w:val="single" w:sz="4" w:space="0" w:color="D9D9D9"/>
            </w:tcBorders>
            <w:shd w:val="clear" w:color="000000" w:fill="FF0000"/>
            <w:vAlign w:val="center"/>
            <w:hideMark/>
          </w:tcPr>
          <w:p w14:paraId="7B6CF7E3"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854" w:type="dxa"/>
            <w:tcBorders>
              <w:top w:val="nil"/>
              <w:left w:val="nil"/>
              <w:bottom w:val="single" w:sz="4" w:space="0" w:color="D9D9D9"/>
              <w:right w:val="single" w:sz="4" w:space="0" w:color="D9D9D9"/>
            </w:tcBorders>
            <w:shd w:val="clear" w:color="000000" w:fill="FF0000"/>
            <w:vAlign w:val="center"/>
            <w:hideMark/>
          </w:tcPr>
          <w:p w14:paraId="1E6EB8DA"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945" w:type="dxa"/>
            <w:tcBorders>
              <w:top w:val="nil"/>
              <w:left w:val="nil"/>
              <w:bottom w:val="single" w:sz="4" w:space="0" w:color="D9D9D9"/>
              <w:right w:val="single" w:sz="4" w:space="0" w:color="D9D9D9"/>
            </w:tcBorders>
            <w:shd w:val="clear" w:color="000000" w:fill="FF0000"/>
            <w:vAlign w:val="center"/>
            <w:hideMark/>
          </w:tcPr>
          <w:p w14:paraId="18B64090"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767" w:type="dxa"/>
            <w:tcBorders>
              <w:top w:val="nil"/>
              <w:left w:val="nil"/>
              <w:bottom w:val="single" w:sz="4" w:space="0" w:color="D9D9D9"/>
              <w:right w:val="single" w:sz="4" w:space="0" w:color="D9D9D9"/>
            </w:tcBorders>
            <w:shd w:val="clear" w:color="000000" w:fill="92D050"/>
            <w:vAlign w:val="center"/>
            <w:hideMark/>
          </w:tcPr>
          <w:p w14:paraId="22D7A516"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Unregulated</w:t>
            </w:r>
          </w:p>
        </w:tc>
        <w:tc>
          <w:tcPr>
            <w:tcW w:w="740" w:type="dxa"/>
            <w:tcBorders>
              <w:top w:val="nil"/>
              <w:left w:val="nil"/>
              <w:bottom w:val="single" w:sz="4" w:space="0" w:color="D9D9D9"/>
              <w:right w:val="single" w:sz="4" w:space="0" w:color="D9D9D9"/>
            </w:tcBorders>
            <w:shd w:val="clear" w:color="000000" w:fill="FF0000"/>
            <w:vAlign w:val="center"/>
            <w:hideMark/>
          </w:tcPr>
          <w:p w14:paraId="45E50F7D"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719" w:type="dxa"/>
            <w:tcBorders>
              <w:top w:val="nil"/>
              <w:left w:val="nil"/>
              <w:bottom w:val="single" w:sz="4" w:space="0" w:color="D9D9D9"/>
              <w:right w:val="single" w:sz="4" w:space="0" w:color="D9D9D9"/>
            </w:tcBorders>
            <w:shd w:val="clear" w:color="000000" w:fill="FF0000"/>
            <w:vAlign w:val="center"/>
            <w:hideMark/>
          </w:tcPr>
          <w:p w14:paraId="7F9007B9"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r>
      <w:tr w:rsidR="00D13693" w:rsidRPr="00F4333B" w14:paraId="00EC4E98" w14:textId="77777777" w:rsidTr="00EC16DF">
        <w:trPr>
          <w:trHeight w:val="765"/>
        </w:trPr>
        <w:tc>
          <w:tcPr>
            <w:tcW w:w="200" w:type="dxa"/>
            <w:tcBorders>
              <w:top w:val="nil"/>
              <w:left w:val="single" w:sz="4" w:space="0" w:color="D9D9D9"/>
              <w:bottom w:val="single" w:sz="4" w:space="0" w:color="D9D9D9"/>
              <w:right w:val="single" w:sz="4" w:space="0" w:color="D9D9D9"/>
            </w:tcBorders>
            <w:shd w:val="clear" w:color="000000" w:fill="FFFF00"/>
            <w:vAlign w:val="center"/>
            <w:hideMark/>
          </w:tcPr>
          <w:p w14:paraId="37D561F7" w14:textId="77777777" w:rsidR="00D13693" w:rsidRPr="00F4333B" w:rsidRDefault="00D13693" w:rsidP="00EC16DF">
            <w:pPr>
              <w:spacing w:after="0" w:line="240" w:lineRule="auto"/>
              <w:ind w:left="0" w:firstLine="0"/>
              <w:jc w:val="center"/>
              <w:rPr>
                <w:rFonts w:ascii="Arial" w:hAnsi="Arial" w:cs="Arial"/>
                <w:sz w:val="16"/>
                <w:szCs w:val="16"/>
              </w:rPr>
            </w:pPr>
            <w:r w:rsidRPr="00F4333B">
              <w:rPr>
                <w:rFonts w:ascii="Arial" w:hAnsi="Arial" w:cs="Arial"/>
                <w:sz w:val="16"/>
                <w:szCs w:val="16"/>
              </w:rPr>
              <w:t> </w:t>
            </w:r>
          </w:p>
        </w:tc>
        <w:tc>
          <w:tcPr>
            <w:tcW w:w="331" w:type="dxa"/>
            <w:tcBorders>
              <w:top w:val="nil"/>
              <w:left w:val="nil"/>
              <w:bottom w:val="single" w:sz="4" w:space="0" w:color="D9D9D9"/>
              <w:right w:val="single" w:sz="4" w:space="0" w:color="D9D9D9"/>
            </w:tcBorders>
            <w:shd w:val="clear" w:color="000000" w:fill="FFFFFF"/>
            <w:vAlign w:val="bottom"/>
            <w:hideMark/>
          </w:tcPr>
          <w:p w14:paraId="101C134E"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Factoring</w:t>
            </w:r>
          </w:p>
        </w:tc>
        <w:tc>
          <w:tcPr>
            <w:tcW w:w="870" w:type="dxa"/>
            <w:tcBorders>
              <w:top w:val="nil"/>
              <w:left w:val="nil"/>
              <w:bottom w:val="single" w:sz="4" w:space="0" w:color="D9D9D9"/>
              <w:right w:val="single" w:sz="4" w:space="0" w:color="D9D9D9"/>
            </w:tcBorders>
            <w:shd w:val="clear" w:color="000000" w:fill="92D050"/>
            <w:vAlign w:val="center"/>
            <w:hideMark/>
          </w:tcPr>
          <w:p w14:paraId="201D5142"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Unregulated</w:t>
            </w:r>
          </w:p>
        </w:tc>
        <w:tc>
          <w:tcPr>
            <w:tcW w:w="638" w:type="dxa"/>
            <w:tcBorders>
              <w:top w:val="nil"/>
              <w:left w:val="nil"/>
              <w:bottom w:val="single" w:sz="4" w:space="0" w:color="D9D9D9"/>
              <w:right w:val="single" w:sz="4" w:space="0" w:color="D9D9D9"/>
            </w:tcBorders>
            <w:shd w:val="clear" w:color="000000" w:fill="FF0000"/>
            <w:vAlign w:val="center"/>
            <w:hideMark/>
          </w:tcPr>
          <w:p w14:paraId="1FC3141D"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778" w:type="dxa"/>
            <w:tcBorders>
              <w:top w:val="nil"/>
              <w:left w:val="nil"/>
              <w:bottom w:val="single" w:sz="4" w:space="0" w:color="D9D9D9"/>
              <w:right w:val="single" w:sz="4" w:space="0" w:color="D9D9D9"/>
            </w:tcBorders>
            <w:shd w:val="clear" w:color="000000" w:fill="FF0000"/>
            <w:vAlign w:val="center"/>
            <w:hideMark/>
          </w:tcPr>
          <w:p w14:paraId="19E76CC9"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816" w:type="dxa"/>
            <w:tcBorders>
              <w:top w:val="nil"/>
              <w:left w:val="nil"/>
              <w:bottom w:val="single" w:sz="4" w:space="0" w:color="D9D9D9"/>
              <w:right w:val="single" w:sz="4" w:space="0" w:color="D9D9D9"/>
            </w:tcBorders>
            <w:shd w:val="clear" w:color="000000" w:fill="FFC000"/>
            <w:vAlign w:val="center"/>
            <w:hideMark/>
          </w:tcPr>
          <w:p w14:paraId="5E452319"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Discretionary waiver available but only in respect of professional clients</w:t>
            </w:r>
          </w:p>
        </w:tc>
        <w:tc>
          <w:tcPr>
            <w:tcW w:w="848" w:type="dxa"/>
            <w:tcBorders>
              <w:top w:val="nil"/>
              <w:left w:val="nil"/>
              <w:bottom w:val="single" w:sz="4" w:space="0" w:color="D9D9D9"/>
              <w:right w:val="single" w:sz="4" w:space="0" w:color="D9D9D9"/>
            </w:tcBorders>
            <w:shd w:val="clear" w:color="000000" w:fill="92D050"/>
            <w:vAlign w:val="center"/>
            <w:hideMark/>
          </w:tcPr>
          <w:p w14:paraId="1D606C3F"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Unregulated</w:t>
            </w:r>
          </w:p>
        </w:tc>
        <w:tc>
          <w:tcPr>
            <w:tcW w:w="854" w:type="dxa"/>
            <w:tcBorders>
              <w:top w:val="nil"/>
              <w:left w:val="nil"/>
              <w:bottom w:val="single" w:sz="4" w:space="0" w:color="D9D9D9"/>
              <w:right w:val="single" w:sz="4" w:space="0" w:color="D9D9D9"/>
            </w:tcBorders>
            <w:shd w:val="clear" w:color="000000" w:fill="FF0000"/>
            <w:vAlign w:val="center"/>
            <w:hideMark/>
          </w:tcPr>
          <w:p w14:paraId="17257186"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854" w:type="dxa"/>
            <w:tcBorders>
              <w:top w:val="nil"/>
              <w:left w:val="nil"/>
              <w:bottom w:val="single" w:sz="4" w:space="0" w:color="D9D9D9"/>
              <w:right w:val="single" w:sz="4" w:space="0" w:color="D9D9D9"/>
            </w:tcBorders>
            <w:shd w:val="clear" w:color="000000" w:fill="FF0000"/>
            <w:vAlign w:val="center"/>
            <w:hideMark/>
          </w:tcPr>
          <w:p w14:paraId="1280E3D8"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945" w:type="dxa"/>
            <w:tcBorders>
              <w:top w:val="nil"/>
              <w:left w:val="nil"/>
              <w:bottom w:val="single" w:sz="4" w:space="0" w:color="D9D9D9"/>
              <w:right w:val="single" w:sz="4" w:space="0" w:color="D9D9D9"/>
            </w:tcBorders>
            <w:shd w:val="clear" w:color="000000" w:fill="FF0000"/>
            <w:vAlign w:val="center"/>
            <w:hideMark/>
          </w:tcPr>
          <w:p w14:paraId="75B197DA"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767" w:type="dxa"/>
            <w:tcBorders>
              <w:top w:val="nil"/>
              <w:left w:val="nil"/>
              <w:bottom w:val="single" w:sz="4" w:space="0" w:color="D9D9D9"/>
              <w:right w:val="single" w:sz="4" w:space="0" w:color="D9D9D9"/>
            </w:tcBorders>
            <w:shd w:val="clear" w:color="000000" w:fill="92D050"/>
            <w:vAlign w:val="center"/>
            <w:hideMark/>
          </w:tcPr>
          <w:p w14:paraId="391B83DA"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Unregulated</w:t>
            </w:r>
          </w:p>
        </w:tc>
        <w:tc>
          <w:tcPr>
            <w:tcW w:w="740" w:type="dxa"/>
            <w:tcBorders>
              <w:top w:val="nil"/>
              <w:left w:val="nil"/>
              <w:bottom w:val="single" w:sz="4" w:space="0" w:color="D9D9D9"/>
              <w:right w:val="single" w:sz="4" w:space="0" w:color="D9D9D9"/>
            </w:tcBorders>
            <w:shd w:val="clear" w:color="000000" w:fill="FF0000"/>
            <w:vAlign w:val="center"/>
            <w:hideMark/>
          </w:tcPr>
          <w:p w14:paraId="6F9E0D32"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719" w:type="dxa"/>
            <w:tcBorders>
              <w:top w:val="nil"/>
              <w:left w:val="nil"/>
              <w:bottom w:val="single" w:sz="4" w:space="0" w:color="D9D9D9"/>
              <w:right w:val="single" w:sz="4" w:space="0" w:color="D9D9D9"/>
            </w:tcBorders>
            <w:shd w:val="clear" w:color="000000" w:fill="FF0000"/>
            <w:vAlign w:val="center"/>
            <w:hideMark/>
          </w:tcPr>
          <w:p w14:paraId="1D6D308D"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r>
      <w:tr w:rsidR="00D13693" w:rsidRPr="00F4333B" w14:paraId="6EE93CF0" w14:textId="77777777" w:rsidTr="00EC16DF">
        <w:trPr>
          <w:trHeight w:val="765"/>
        </w:trPr>
        <w:tc>
          <w:tcPr>
            <w:tcW w:w="200" w:type="dxa"/>
            <w:tcBorders>
              <w:top w:val="nil"/>
              <w:left w:val="single" w:sz="4" w:space="0" w:color="D9D9D9"/>
              <w:bottom w:val="single" w:sz="4" w:space="0" w:color="D9D9D9"/>
              <w:right w:val="single" w:sz="4" w:space="0" w:color="D9D9D9"/>
            </w:tcBorders>
            <w:shd w:val="clear" w:color="000000" w:fill="FFFF00"/>
            <w:vAlign w:val="center"/>
            <w:hideMark/>
          </w:tcPr>
          <w:p w14:paraId="048FC7A2" w14:textId="77777777" w:rsidR="00D13693" w:rsidRPr="00F4333B" w:rsidRDefault="00D13693" w:rsidP="00EC16DF">
            <w:pPr>
              <w:spacing w:after="0" w:line="240" w:lineRule="auto"/>
              <w:ind w:left="0" w:firstLine="0"/>
              <w:jc w:val="center"/>
              <w:rPr>
                <w:rFonts w:ascii="Arial" w:hAnsi="Arial" w:cs="Arial"/>
                <w:sz w:val="16"/>
                <w:szCs w:val="16"/>
              </w:rPr>
            </w:pPr>
            <w:r w:rsidRPr="00F4333B">
              <w:rPr>
                <w:rFonts w:ascii="Arial" w:hAnsi="Arial" w:cs="Arial"/>
                <w:sz w:val="16"/>
                <w:szCs w:val="16"/>
              </w:rPr>
              <w:t> </w:t>
            </w:r>
          </w:p>
        </w:tc>
        <w:tc>
          <w:tcPr>
            <w:tcW w:w="331" w:type="dxa"/>
            <w:tcBorders>
              <w:top w:val="nil"/>
              <w:left w:val="nil"/>
              <w:bottom w:val="single" w:sz="4" w:space="0" w:color="D9D9D9"/>
              <w:right w:val="single" w:sz="4" w:space="0" w:color="D9D9D9"/>
            </w:tcBorders>
            <w:shd w:val="clear" w:color="000000" w:fill="FFFFFF"/>
            <w:vAlign w:val="bottom"/>
            <w:hideMark/>
          </w:tcPr>
          <w:p w14:paraId="1AEA3DFD"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Guarantees and commitments</w:t>
            </w:r>
          </w:p>
        </w:tc>
        <w:tc>
          <w:tcPr>
            <w:tcW w:w="870" w:type="dxa"/>
            <w:tcBorders>
              <w:top w:val="nil"/>
              <w:left w:val="nil"/>
              <w:bottom w:val="single" w:sz="4" w:space="0" w:color="D9D9D9"/>
              <w:right w:val="single" w:sz="4" w:space="0" w:color="D9D9D9"/>
            </w:tcBorders>
            <w:shd w:val="clear" w:color="000000" w:fill="92D050"/>
            <w:vAlign w:val="center"/>
            <w:hideMark/>
          </w:tcPr>
          <w:p w14:paraId="2758D15C"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Unregulated</w:t>
            </w:r>
          </w:p>
        </w:tc>
        <w:tc>
          <w:tcPr>
            <w:tcW w:w="638" w:type="dxa"/>
            <w:tcBorders>
              <w:top w:val="nil"/>
              <w:left w:val="nil"/>
              <w:bottom w:val="single" w:sz="4" w:space="0" w:color="D9D9D9"/>
              <w:right w:val="single" w:sz="4" w:space="0" w:color="D9D9D9"/>
            </w:tcBorders>
            <w:shd w:val="clear" w:color="000000" w:fill="FF0000"/>
            <w:vAlign w:val="center"/>
            <w:hideMark/>
          </w:tcPr>
          <w:p w14:paraId="156484B0"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778" w:type="dxa"/>
            <w:tcBorders>
              <w:top w:val="nil"/>
              <w:left w:val="nil"/>
              <w:bottom w:val="single" w:sz="4" w:space="0" w:color="D9D9D9"/>
              <w:right w:val="single" w:sz="4" w:space="0" w:color="D9D9D9"/>
            </w:tcBorders>
            <w:shd w:val="clear" w:color="000000" w:fill="FF0000"/>
            <w:vAlign w:val="center"/>
            <w:hideMark/>
          </w:tcPr>
          <w:p w14:paraId="4C430FFE"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816" w:type="dxa"/>
            <w:tcBorders>
              <w:top w:val="nil"/>
              <w:left w:val="nil"/>
              <w:bottom w:val="single" w:sz="4" w:space="0" w:color="D9D9D9"/>
              <w:right w:val="single" w:sz="4" w:space="0" w:color="D9D9D9"/>
            </w:tcBorders>
            <w:shd w:val="clear" w:color="000000" w:fill="FFC000"/>
            <w:vAlign w:val="center"/>
            <w:hideMark/>
          </w:tcPr>
          <w:p w14:paraId="43C9605F"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Discretionary waiver available but only in respect of professional clients</w:t>
            </w:r>
          </w:p>
        </w:tc>
        <w:tc>
          <w:tcPr>
            <w:tcW w:w="848" w:type="dxa"/>
            <w:tcBorders>
              <w:top w:val="nil"/>
              <w:left w:val="nil"/>
              <w:bottom w:val="single" w:sz="4" w:space="0" w:color="D9D9D9"/>
              <w:right w:val="single" w:sz="4" w:space="0" w:color="D9D9D9"/>
            </w:tcBorders>
            <w:shd w:val="clear" w:color="000000" w:fill="FFF2CC"/>
            <w:vAlign w:val="center"/>
            <w:hideMark/>
          </w:tcPr>
          <w:p w14:paraId="1F82FD9F"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 xml:space="preserve">Provided </w:t>
            </w:r>
            <w:proofErr w:type="spellStart"/>
            <w:r w:rsidRPr="00F4333B">
              <w:rPr>
                <w:rFonts w:ascii="Arial" w:hAnsi="Arial" w:cs="Arial"/>
                <w:sz w:val="16"/>
                <w:szCs w:val="16"/>
              </w:rPr>
              <w:t>Regulatedt</w:t>
            </w:r>
            <w:proofErr w:type="spellEnd"/>
            <w:r w:rsidRPr="00F4333B">
              <w:rPr>
                <w:rFonts w:ascii="Arial" w:hAnsi="Arial" w:cs="Arial"/>
                <w:sz w:val="16"/>
                <w:szCs w:val="16"/>
              </w:rPr>
              <w:t xml:space="preserve"> contract of  surety (i.e. insurance)</w:t>
            </w:r>
          </w:p>
        </w:tc>
        <w:tc>
          <w:tcPr>
            <w:tcW w:w="854" w:type="dxa"/>
            <w:tcBorders>
              <w:top w:val="nil"/>
              <w:left w:val="nil"/>
              <w:bottom w:val="single" w:sz="4" w:space="0" w:color="D9D9D9"/>
              <w:right w:val="single" w:sz="4" w:space="0" w:color="D9D9D9"/>
            </w:tcBorders>
            <w:shd w:val="clear" w:color="000000" w:fill="FF0000"/>
            <w:vAlign w:val="center"/>
            <w:hideMark/>
          </w:tcPr>
          <w:p w14:paraId="7F487FD2"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854" w:type="dxa"/>
            <w:tcBorders>
              <w:top w:val="nil"/>
              <w:left w:val="nil"/>
              <w:bottom w:val="single" w:sz="4" w:space="0" w:color="D9D9D9"/>
              <w:right w:val="single" w:sz="4" w:space="0" w:color="D9D9D9"/>
            </w:tcBorders>
            <w:shd w:val="clear" w:color="000000" w:fill="FF0000"/>
            <w:vAlign w:val="center"/>
            <w:hideMark/>
          </w:tcPr>
          <w:p w14:paraId="1B5C8AEF"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945" w:type="dxa"/>
            <w:tcBorders>
              <w:top w:val="nil"/>
              <w:left w:val="nil"/>
              <w:bottom w:val="single" w:sz="4" w:space="0" w:color="D9D9D9"/>
              <w:right w:val="single" w:sz="4" w:space="0" w:color="D9D9D9"/>
            </w:tcBorders>
            <w:shd w:val="clear" w:color="000000" w:fill="FF0000"/>
            <w:vAlign w:val="center"/>
            <w:hideMark/>
          </w:tcPr>
          <w:p w14:paraId="484ABF2D"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767" w:type="dxa"/>
            <w:tcBorders>
              <w:top w:val="nil"/>
              <w:left w:val="nil"/>
              <w:bottom w:val="single" w:sz="4" w:space="0" w:color="D9D9D9"/>
              <w:right w:val="single" w:sz="4" w:space="0" w:color="D9D9D9"/>
            </w:tcBorders>
            <w:shd w:val="clear" w:color="000000" w:fill="92D050"/>
            <w:vAlign w:val="center"/>
            <w:hideMark/>
          </w:tcPr>
          <w:p w14:paraId="7694FEB5"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Unregulated</w:t>
            </w:r>
          </w:p>
        </w:tc>
        <w:tc>
          <w:tcPr>
            <w:tcW w:w="740" w:type="dxa"/>
            <w:tcBorders>
              <w:top w:val="nil"/>
              <w:left w:val="nil"/>
              <w:bottom w:val="single" w:sz="4" w:space="0" w:color="D9D9D9"/>
              <w:right w:val="single" w:sz="4" w:space="0" w:color="D9D9D9"/>
            </w:tcBorders>
            <w:shd w:val="clear" w:color="000000" w:fill="FF0000"/>
            <w:vAlign w:val="center"/>
            <w:hideMark/>
          </w:tcPr>
          <w:p w14:paraId="4CFC4C08"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719" w:type="dxa"/>
            <w:tcBorders>
              <w:top w:val="nil"/>
              <w:left w:val="nil"/>
              <w:bottom w:val="single" w:sz="4" w:space="0" w:color="D9D9D9"/>
              <w:right w:val="single" w:sz="4" w:space="0" w:color="D9D9D9"/>
            </w:tcBorders>
            <w:shd w:val="clear" w:color="000000" w:fill="FF0000"/>
            <w:vAlign w:val="center"/>
            <w:hideMark/>
          </w:tcPr>
          <w:p w14:paraId="05FDA680"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r>
      <w:tr w:rsidR="00D13693" w:rsidRPr="00F4333B" w14:paraId="2ECE01E5" w14:textId="77777777" w:rsidTr="00EC16DF">
        <w:trPr>
          <w:trHeight w:val="765"/>
        </w:trPr>
        <w:tc>
          <w:tcPr>
            <w:tcW w:w="200" w:type="dxa"/>
            <w:tcBorders>
              <w:top w:val="nil"/>
              <w:left w:val="single" w:sz="4" w:space="0" w:color="D9D9D9"/>
              <w:bottom w:val="single" w:sz="4" w:space="0" w:color="D9D9D9"/>
              <w:right w:val="single" w:sz="4" w:space="0" w:color="D9D9D9"/>
            </w:tcBorders>
            <w:shd w:val="clear" w:color="000000" w:fill="FFFF00"/>
            <w:vAlign w:val="center"/>
            <w:hideMark/>
          </w:tcPr>
          <w:p w14:paraId="04D3A51F" w14:textId="77777777" w:rsidR="00D13693" w:rsidRPr="00F4333B" w:rsidRDefault="00D13693" w:rsidP="00EC16DF">
            <w:pPr>
              <w:spacing w:after="0" w:line="240" w:lineRule="auto"/>
              <w:ind w:left="0" w:firstLine="0"/>
              <w:jc w:val="center"/>
              <w:rPr>
                <w:rFonts w:ascii="Arial" w:hAnsi="Arial" w:cs="Arial"/>
                <w:sz w:val="16"/>
                <w:szCs w:val="16"/>
              </w:rPr>
            </w:pPr>
            <w:r w:rsidRPr="00F4333B">
              <w:rPr>
                <w:rFonts w:ascii="Arial" w:hAnsi="Arial" w:cs="Arial"/>
                <w:sz w:val="16"/>
                <w:szCs w:val="16"/>
              </w:rPr>
              <w:t> </w:t>
            </w:r>
          </w:p>
        </w:tc>
        <w:tc>
          <w:tcPr>
            <w:tcW w:w="331" w:type="dxa"/>
            <w:tcBorders>
              <w:top w:val="nil"/>
              <w:left w:val="nil"/>
              <w:bottom w:val="single" w:sz="4" w:space="0" w:color="D9D9D9"/>
              <w:right w:val="single" w:sz="4" w:space="0" w:color="D9D9D9"/>
            </w:tcBorders>
            <w:shd w:val="clear" w:color="000000" w:fill="FFFFFF"/>
            <w:vAlign w:val="bottom"/>
            <w:hideMark/>
          </w:tcPr>
          <w:p w14:paraId="46725953"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Payment Services</w:t>
            </w:r>
          </w:p>
        </w:tc>
        <w:tc>
          <w:tcPr>
            <w:tcW w:w="870" w:type="dxa"/>
            <w:tcBorders>
              <w:top w:val="nil"/>
              <w:left w:val="nil"/>
              <w:bottom w:val="single" w:sz="4" w:space="0" w:color="D9D9D9"/>
              <w:right w:val="single" w:sz="4" w:space="0" w:color="D9D9D9"/>
            </w:tcBorders>
            <w:shd w:val="clear" w:color="000000" w:fill="FF0000"/>
            <w:vAlign w:val="center"/>
            <w:hideMark/>
          </w:tcPr>
          <w:p w14:paraId="2BD98E6F"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638" w:type="dxa"/>
            <w:tcBorders>
              <w:top w:val="nil"/>
              <w:left w:val="nil"/>
              <w:bottom w:val="single" w:sz="4" w:space="0" w:color="D9D9D9"/>
              <w:right w:val="single" w:sz="4" w:space="0" w:color="D9D9D9"/>
            </w:tcBorders>
            <w:shd w:val="clear" w:color="000000" w:fill="FF0000"/>
            <w:vAlign w:val="center"/>
            <w:hideMark/>
          </w:tcPr>
          <w:p w14:paraId="543A0486"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778" w:type="dxa"/>
            <w:tcBorders>
              <w:top w:val="nil"/>
              <w:left w:val="nil"/>
              <w:bottom w:val="single" w:sz="4" w:space="0" w:color="D9D9D9"/>
              <w:right w:val="single" w:sz="4" w:space="0" w:color="D9D9D9"/>
            </w:tcBorders>
            <w:shd w:val="clear" w:color="000000" w:fill="FF0000"/>
            <w:vAlign w:val="center"/>
            <w:hideMark/>
          </w:tcPr>
          <w:p w14:paraId="50CC7E77"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816" w:type="dxa"/>
            <w:tcBorders>
              <w:top w:val="nil"/>
              <w:left w:val="nil"/>
              <w:bottom w:val="single" w:sz="4" w:space="0" w:color="D9D9D9"/>
              <w:right w:val="single" w:sz="4" w:space="0" w:color="D9D9D9"/>
            </w:tcBorders>
            <w:shd w:val="clear" w:color="000000" w:fill="FFC000"/>
            <w:vAlign w:val="center"/>
            <w:hideMark/>
          </w:tcPr>
          <w:p w14:paraId="501C89C0"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Discretionary waiver available but only in respect of professional clients</w:t>
            </w:r>
          </w:p>
        </w:tc>
        <w:tc>
          <w:tcPr>
            <w:tcW w:w="848" w:type="dxa"/>
            <w:tcBorders>
              <w:top w:val="nil"/>
              <w:left w:val="nil"/>
              <w:bottom w:val="single" w:sz="4" w:space="0" w:color="D9D9D9"/>
              <w:right w:val="single" w:sz="4" w:space="0" w:color="D9D9D9"/>
            </w:tcBorders>
            <w:shd w:val="clear" w:color="000000" w:fill="FF0000"/>
            <w:vAlign w:val="center"/>
            <w:hideMark/>
          </w:tcPr>
          <w:p w14:paraId="71DD6184"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854" w:type="dxa"/>
            <w:tcBorders>
              <w:top w:val="nil"/>
              <w:left w:val="nil"/>
              <w:bottom w:val="single" w:sz="4" w:space="0" w:color="D9D9D9"/>
              <w:right w:val="single" w:sz="4" w:space="0" w:color="D9D9D9"/>
            </w:tcBorders>
            <w:shd w:val="clear" w:color="000000" w:fill="FF0000"/>
            <w:vAlign w:val="center"/>
            <w:hideMark/>
          </w:tcPr>
          <w:p w14:paraId="54F2EBD4"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854" w:type="dxa"/>
            <w:tcBorders>
              <w:top w:val="nil"/>
              <w:left w:val="nil"/>
              <w:bottom w:val="single" w:sz="4" w:space="0" w:color="D9D9D9"/>
              <w:right w:val="single" w:sz="4" w:space="0" w:color="D9D9D9"/>
            </w:tcBorders>
            <w:shd w:val="clear" w:color="000000" w:fill="FF0000"/>
            <w:vAlign w:val="center"/>
            <w:hideMark/>
          </w:tcPr>
          <w:p w14:paraId="064E0CFE"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945" w:type="dxa"/>
            <w:tcBorders>
              <w:top w:val="nil"/>
              <w:left w:val="nil"/>
              <w:bottom w:val="single" w:sz="4" w:space="0" w:color="D9D9D9"/>
              <w:right w:val="single" w:sz="4" w:space="0" w:color="D9D9D9"/>
            </w:tcBorders>
            <w:shd w:val="clear" w:color="000000" w:fill="FF0000"/>
            <w:vAlign w:val="center"/>
            <w:hideMark/>
          </w:tcPr>
          <w:p w14:paraId="7B55321A"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767" w:type="dxa"/>
            <w:tcBorders>
              <w:top w:val="nil"/>
              <w:left w:val="nil"/>
              <w:bottom w:val="single" w:sz="4" w:space="0" w:color="D9D9D9"/>
              <w:right w:val="single" w:sz="4" w:space="0" w:color="D9D9D9"/>
            </w:tcBorders>
            <w:shd w:val="clear" w:color="000000" w:fill="FF0000"/>
            <w:vAlign w:val="center"/>
            <w:hideMark/>
          </w:tcPr>
          <w:p w14:paraId="0E701ABE"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740" w:type="dxa"/>
            <w:tcBorders>
              <w:top w:val="nil"/>
              <w:left w:val="nil"/>
              <w:bottom w:val="single" w:sz="4" w:space="0" w:color="D9D9D9"/>
              <w:right w:val="single" w:sz="4" w:space="0" w:color="D9D9D9"/>
            </w:tcBorders>
            <w:shd w:val="clear" w:color="000000" w:fill="FF0000"/>
            <w:vAlign w:val="center"/>
            <w:hideMark/>
          </w:tcPr>
          <w:p w14:paraId="7DBE91E8"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719" w:type="dxa"/>
            <w:tcBorders>
              <w:top w:val="nil"/>
              <w:left w:val="nil"/>
              <w:bottom w:val="single" w:sz="4" w:space="0" w:color="D9D9D9"/>
              <w:right w:val="single" w:sz="4" w:space="0" w:color="D9D9D9"/>
            </w:tcBorders>
            <w:shd w:val="clear" w:color="000000" w:fill="FF0000"/>
            <w:vAlign w:val="center"/>
            <w:hideMark/>
          </w:tcPr>
          <w:p w14:paraId="12F07BE7"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r>
      <w:tr w:rsidR="00D13693" w:rsidRPr="00F4333B" w14:paraId="03D377AB" w14:textId="77777777" w:rsidTr="00EC16DF">
        <w:trPr>
          <w:trHeight w:val="765"/>
        </w:trPr>
        <w:tc>
          <w:tcPr>
            <w:tcW w:w="200" w:type="dxa"/>
            <w:tcBorders>
              <w:top w:val="nil"/>
              <w:left w:val="single" w:sz="4" w:space="0" w:color="D9D9D9"/>
              <w:bottom w:val="single" w:sz="4" w:space="0" w:color="D9D9D9"/>
              <w:right w:val="single" w:sz="4" w:space="0" w:color="D9D9D9"/>
            </w:tcBorders>
            <w:shd w:val="clear" w:color="000000" w:fill="FFFF00"/>
            <w:vAlign w:val="center"/>
            <w:hideMark/>
          </w:tcPr>
          <w:p w14:paraId="302B71C7" w14:textId="77777777" w:rsidR="00D13693" w:rsidRPr="00F4333B" w:rsidRDefault="00D13693" w:rsidP="00EC16DF">
            <w:pPr>
              <w:spacing w:after="0" w:line="240" w:lineRule="auto"/>
              <w:ind w:left="0" w:firstLine="0"/>
              <w:jc w:val="center"/>
              <w:rPr>
                <w:rFonts w:ascii="Arial" w:hAnsi="Arial" w:cs="Arial"/>
                <w:sz w:val="16"/>
                <w:szCs w:val="16"/>
              </w:rPr>
            </w:pPr>
            <w:r w:rsidRPr="00F4333B">
              <w:rPr>
                <w:rFonts w:ascii="Arial" w:hAnsi="Arial" w:cs="Arial"/>
                <w:sz w:val="16"/>
                <w:szCs w:val="16"/>
              </w:rPr>
              <w:t> </w:t>
            </w:r>
          </w:p>
        </w:tc>
        <w:tc>
          <w:tcPr>
            <w:tcW w:w="331" w:type="dxa"/>
            <w:tcBorders>
              <w:top w:val="nil"/>
              <w:left w:val="nil"/>
              <w:bottom w:val="single" w:sz="4" w:space="0" w:color="D9D9D9"/>
              <w:right w:val="single" w:sz="4" w:space="0" w:color="D9D9D9"/>
            </w:tcBorders>
            <w:shd w:val="clear" w:color="000000" w:fill="FFFFFF"/>
            <w:vAlign w:val="bottom"/>
            <w:hideMark/>
          </w:tcPr>
          <w:p w14:paraId="0DB8B2FE"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Issuing other means of payment (</w:t>
            </w:r>
            <w:proofErr w:type="spellStart"/>
            <w:r w:rsidRPr="00F4333B">
              <w:rPr>
                <w:rFonts w:ascii="Arial" w:hAnsi="Arial" w:cs="Arial"/>
                <w:sz w:val="16"/>
                <w:szCs w:val="16"/>
              </w:rPr>
              <w:t>eg</w:t>
            </w:r>
            <w:proofErr w:type="spellEnd"/>
            <w:r w:rsidRPr="00F4333B">
              <w:rPr>
                <w:rFonts w:ascii="Arial" w:hAnsi="Arial" w:cs="Arial"/>
                <w:sz w:val="16"/>
                <w:szCs w:val="16"/>
              </w:rPr>
              <w:t xml:space="preserve"> travellers cheques, bankers drafts) - other than payment services</w:t>
            </w:r>
          </w:p>
        </w:tc>
        <w:tc>
          <w:tcPr>
            <w:tcW w:w="870" w:type="dxa"/>
            <w:tcBorders>
              <w:top w:val="nil"/>
              <w:left w:val="nil"/>
              <w:bottom w:val="single" w:sz="4" w:space="0" w:color="D9D9D9"/>
              <w:right w:val="single" w:sz="4" w:space="0" w:color="D9D9D9"/>
            </w:tcBorders>
            <w:shd w:val="clear" w:color="000000" w:fill="FF0000"/>
            <w:vAlign w:val="center"/>
            <w:hideMark/>
          </w:tcPr>
          <w:p w14:paraId="01B769A2"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638" w:type="dxa"/>
            <w:tcBorders>
              <w:top w:val="nil"/>
              <w:left w:val="nil"/>
              <w:bottom w:val="single" w:sz="4" w:space="0" w:color="D9D9D9"/>
              <w:right w:val="single" w:sz="4" w:space="0" w:color="D9D9D9"/>
            </w:tcBorders>
            <w:shd w:val="clear" w:color="000000" w:fill="FF0000"/>
            <w:vAlign w:val="center"/>
            <w:hideMark/>
          </w:tcPr>
          <w:p w14:paraId="745C1788"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778" w:type="dxa"/>
            <w:tcBorders>
              <w:top w:val="nil"/>
              <w:left w:val="nil"/>
              <w:bottom w:val="single" w:sz="4" w:space="0" w:color="D9D9D9"/>
              <w:right w:val="single" w:sz="4" w:space="0" w:color="D9D9D9"/>
            </w:tcBorders>
            <w:shd w:val="clear" w:color="000000" w:fill="FF0000"/>
            <w:vAlign w:val="center"/>
            <w:hideMark/>
          </w:tcPr>
          <w:p w14:paraId="0BFFB8A5"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816" w:type="dxa"/>
            <w:tcBorders>
              <w:top w:val="nil"/>
              <w:left w:val="nil"/>
              <w:bottom w:val="single" w:sz="4" w:space="0" w:color="D9D9D9"/>
              <w:right w:val="single" w:sz="4" w:space="0" w:color="D9D9D9"/>
            </w:tcBorders>
            <w:shd w:val="clear" w:color="000000" w:fill="FFC000"/>
            <w:vAlign w:val="center"/>
            <w:hideMark/>
          </w:tcPr>
          <w:p w14:paraId="6C5B3C46"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Discretionary waiver available but only in respect of professional clients</w:t>
            </w:r>
          </w:p>
        </w:tc>
        <w:tc>
          <w:tcPr>
            <w:tcW w:w="848" w:type="dxa"/>
            <w:tcBorders>
              <w:top w:val="nil"/>
              <w:left w:val="nil"/>
              <w:bottom w:val="single" w:sz="4" w:space="0" w:color="D9D9D9"/>
              <w:right w:val="single" w:sz="4" w:space="0" w:color="D9D9D9"/>
            </w:tcBorders>
            <w:shd w:val="clear" w:color="000000" w:fill="FF0000"/>
            <w:vAlign w:val="center"/>
            <w:hideMark/>
          </w:tcPr>
          <w:p w14:paraId="03243B53"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854" w:type="dxa"/>
            <w:tcBorders>
              <w:top w:val="nil"/>
              <w:left w:val="nil"/>
              <w:bottom w:val="nil"/>
              <w:right w:val="nil"/>
            </w:tcBorders>
            <w:shd w:val="clear" w:color="000000" w:fill="FFF2CC"/>
            <w:vAlign w:val="bottom"/>
            <w:hideMark/>
          </w:tcPr>
          <w:p w14:paraId="2004963A" w14:textId="77777777" w:rsidR="00D13693" w:rsidRPr="00F4333B" w:rsidRDefault="00D13693" w:rsidP="00EC16DF">
            <w:pPr>
              <w:spacing w:after="0" w:line="240" w:lineRule="auto"/>
              <w:ind w:left="0" w:firstLine="0"/>
              <w:jc w:val="left"/>
              <w:rPr>
                <w:rFonts w:ascii="Arial" w:hAnsi="Arial" w:cs="Arial"/>
                <w:sz w:val="16"/>
                <w:szCs w:val="16"/>
              </w:rPr>
            </w:pPr>
            <w:proofErr w:type="spellStart"/>
            <w:r w:rsidRPr="00F4333B">
              <w:rPr>
                <w:rFonts w:ascii="Arial" w:hAnsi="Arial" w:cs="Arial"/>
                <w:sz w:val="16"/>
                <w:szCs w:val="16"/>
              </w:rPr>
              <w:t>Permissable</w:t>
            </w:r>
            <w:proofErr w:type="spellEnd"/>
            <w:r w:rsidRPr="00F4333B">
              <w:rPr>
                <w:rFonts w:ascii="Arial" w:hAnsi="Arial" w:cs="Arial"/>
                <w:sz w:val="16"/>
                <w:szCs w:val="16"/>
              </w:rPr>
              <w:t xml:space="preserve"> per se, but depending on precise features</w:t>
            </w:r>
          </w:p>
        </w:tc>
        <w:tc>
          <w:tcPr>
            <w:tcW w:w="854" w:type="dxa"/>
            <w:tcBorders>
              <w:top w:val="nil"/>
              <w:left w:val="single" w:sz="4" w:space="0" w:color="D9D9D9"/>
              <w:bottom w:val="single" w:sz="4" w:space="0" w:color="D9D9D9"/>
              <w:right w:val="single" w:sz="4" w:space="0" w:color="D9D9D9"/>
            </w:tcBorders>
            <w:shd w:val="clear" w:color="000000" w:fill="FF0000"/>
            <w:vAlign w:val="center"/>
            <w:hideMark/>
          </w:tcPr>
          <w:p w14:paraId="6B03F5F4"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945" w:type="dxa"/>
            <w:tcBorders>
              <w:top w:val="nil"/>
              <w:left w:val="nil"/>
              <w:bottom w:val="single" w:sz="4" w:space="0" w:color="D9D9D9"/>
              <w:right w:val="single" w:sz="4" w:space="0" w:color="D9D9D9"/>
            </w:tcBorders>
            <w:shd w:val="clear" w:color="000000" w:fill="FF0000"/>
            <w:vAlign w:val="center"/>
            <w:hideMark/>
          </w:tcPr>
          <w:p w14:paraId="11FF7C0B"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767" w:type="dxa"/>
            <w:tcBorders>
              <w:top w:val="nil"/>
              <w:left w:val="nil"/>
              <w:bottom w:val="single" w:sz="4" w:space="0" w:color="D9D9D9"/>
              <w:right w:val="single" w:sz="4" w:space="0" w:color="D9D9D9"/>
            </w:tcBorders>
            <w:shd w:val="clear" w:color="000000" w:fill="92D050"/>
            <w:vAlign w:val="center"/>
            <w:hideMark/>
          </w:tcPr>
          <w:p w14:paraId="114662C7"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Unregulated</w:t>
            </w:r>
          </w:p>
        </w:tc>
        <w:tc>
          <w:tcPr>
            <w:tcW w:w="740" w:type="dxa"/>
            <w:tcBorders>
              <w:top w:val="nil"/>
              <w:left w:val="nil"/>
              <w:bottom w:val="single" w:sz="4" w:space="0" w:color="D9D9D9"/>
              <w:right w:val="single" w:sz="4" w:space="0" w:color="D9D9D9"/>
            </w:tcBorders>
            <w:shd w:val="clear" w:color="000000" w:fill="FF0000"/>
            <w:vAlign w:val="center"/>
            <w:hideMark/>
          </w:tcPr>
          <w:p w14:paraId="54482949"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719" w:type="dxa"/>
            <w:tcBorders>
              <w:top w:val="nil"/>
              <w:left w:val="nil"/>
              <w:bottom w:val="single" w:sz="4" w:space="0" w:color="D9D9D9"/>
              <w:right w:val="single" w:sz="4" w:space="0" w:color="D9D9D9"/>
            </w:tcBorders>
            <w:shd w:val="clear" w:color="000000" w:fill="FF0000"/>
            <w:vAlign w:val="center"/>
            <w:hideMark/>
          </w:tcPr>
          <w:p w14:paraId="6F64A9D0"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r>
      <w:tr w:rsidR="00D13693" w:rsidRPr="00F4333B" w14:paraId="4B5903EF" w14:textId="77777777" w:rsidTr="00EC16DF">
        <w:trPr>
          <w:trHeight w:val="765"/>
        </w:trPr>
        <w:tc>
          <w:tcPr>
            <w:tcW w:w="200" w:type="dxa"/>
            <w:tcBorders>
              <w:top w:val="nil"/>
              <w:left w:val="single" w:sz="4" w:space="0" w:color="D9D9D9"/>
              <w:bottom w:val="single" w:sz="4" w:space="0" w:color="D9D9D9"/>
              <w:right w:val="single" w:sz="4" w:space="0" w:color="D9D9D9"/>
            </w:tcBorders>
            <w:shd w:val="clear" w:color="000000" w:fill="FFFF00"/>
            <w:vAlign w:val="center"/>
            <w:hideMark/>
          </w:tcPr>
          <w:p w14:paraId="62A28C33" w14:textId="77777777" w:rsidR="00D13693" w:rsidRPr="00F4333B" w:rsidRDefault="00D13693" w:rsidP="00EC16DF">
            <w:pPr>
              <w:spacing w:after="0" w:line="240" w:lineRule="auto"/>
              <w:ind w:left="0" w:firstLine="0"/>
              <w:jc w:val="center"/>
              <w:rPr>
                <w:rFonts w:ascii="Arial" w:hAnsi="Arial" w:cs="Arial"/>
                <w:sz w:val="16"/>
                <w:szCs w:val="16"/>
              </w:rPr>
            </w:pPr>
            <w:r w:rsidRPr="00F4333B">
              <w:rPr>
                <w:rFonts w:ascii="Arial" w:hAnsi="Arial" w:cs="Arial"/>
                <w:sz w:val="16"/>
                <w:szCs w:val="16"/>
              </w:rPr>
              <w:t> </w:t>
            </w:r>
          </w:p>
        </w:tc>
        <w:tc>
          <w:tcPr>
            <w:tcW w:w="331" w:type="dxa"/>
            <w:tcBorders>
              <w:top w:val="nil"/>
              <w:left w:val="nil"/>
              <w:bottom w:val="single" w:sz="4" w:space="0" w:color="D9D9D9"/>
              <w:right w:val="single" w:sz="4" w:space="0" w:color="D9D9D9"/>
            </w:tcBorders>
            <w:shd w:val="clear" w:color="000000" w:fill="FFFFFF"/>
            <w:vAlign w:val="center"/>
            <w:hideMark/>
          </w:tcPr>
          <w:p w14:paraId="10E95965"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Consumer credit lending</w:t>
            </w:r>
          </w:p>
        </w:tc>
        <w:tc>
          <w:tcPr>
            <w:tcW w:w="870" w:type="dxa"/>
            <w:tcBorders>
              <w:top w:val="nil"/>
              <w:left w:val="nil"/>
              <w:bottom w:val="single" w:sz="4" w:space="0" w:color="D9D9D9"/>
              <w:right w:val="single" w:sz="4" w:space="0" w:color="D9D9D9"/>
            </w:tcBorders>
            <w:shd w:val="clear" w:color="000000" w:fill="FF0000"/>
            <w:vAlign w:val="center"/>
            <w:hideMark/>
          </w:tcPr>
          <w:p w14:paraId="63173B80"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638" w:type="dxa"/>
            <w:tcBorders>
              <w:top w:val="nil"/>
              <w:left w:val="nil"/>
              <w:bottom w:val="single" w:sz="4" w:space="0" w:color="D9D9D9"/>
              <w:right w:val="single" w:sz="4" w:space="0" w:color="D9D9D9"/>
            </w:tcBorders>
            <w:shd w:val="clear" w:color="000000" w:fill="FF0000"/>
            <w:vAlign w:val="center"/>
            <w:hideMark/>
          </w:tcPr>
          <w:p w14:paraId="0D52861A"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778" w:type="dxa"/>
            <w:tcBorders>
              <w:top w:val="nil"/>
              <w:left w:val="nil"/>
              <w:bottom w:val="single" w:sz="4" w:space="0" w:color="D9D9D9"/>
              <w:right w:val="single" w:sz="4" w:space="0" w:color="D9D9D9"/>
            </w:tcBorders>
            <w:shd w:val="clear" w:color="000000" w:fill="FF0000"/>
            <w:vAlign w:val="center"/>
            <w:hideMark/>
          </w:tcPr>
          <w:p w14:paraId="31EF5CCD"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816" w:type="dxa"/>
            <w:tcBorders>
              <w:top w:val="nil"/>
              <w:left w:val="nil"/>
              <w:bottom w:val="single" w:sz="4" w:space="0" w:color="D9D9D9"/>
              <w:right w:val="single" w:sz="4" w:space="0" w:color="D9D9D9"/>
            </w:tcBorders>
            <w:shd w:val="clear" w:color="000000" w:fill="FFC000"/>
            <w:vAlign w:val="center"/>
            <w:hideMark/>
          </w:tcPr>
          <w:p w14:paraId="46C7F7A5"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Discretionary waiver available but only in respect of professional clients</w:t>
            </w:r>
          </w:p>
        </w:tc>
        <w:tc>
          <w:tcPr>
            <w:tcW w:w="848" w:type="dxa"/>
            <w:tcBorders>
              <w:top w:val="nil"/>
              <w:left w:val="nil"/>
              <w:bottom w:val="single" w:sz="4" w:space="0" w:color="D9D9D9"/>
              <w:right w:val="single" w:sz="4" w:space="0" w:color="D9D9D9"/>
            </w:tcBorders>
            <w:shd w:val="clear" w:color="000000" w:fill="FF0000"/>
            <w:vAlign w:val="center"/>
            <w:hideMark/>
          </w:tcPr>
          <w:p w14:paraId="00744040"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854" w:type="dxa"/>
            <w:tcBorders>
              <w:top w:val="single" w:sz="4" w:space="0" w:color="D9D9D9"/>
              <w:left w:val="nil"/>
              <w:bottom w:val="single" w:sz="4" w:space="0" w:color="D9D9D9"/>
              <w:right w:val="single" w:sz="4" w:space="0" w:color="D9D9D9"/>
            </w:tcBorders>
            <w:shd w:val="clear" w:color="000000" w:fill="FF0000"/>
            <w:vAlign w:val="center"/>
            <w:hideMark/>
          </w:tcPr>
          <w:p w14:paraId="06D1796C"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854" w:type="dxa"/>
            <w:tcBorders>
              <w:top w:val="nil"/>
              <w:left w:val="nil"/>
              <w:bottom w:val="single" w:sz="4" w:space="0" w:color="D9D9D9"/>
              <w:right w:val="single" w:sz="4" w:space="0" w:color="D9D9D9"/>
            </w:tcBorders>
            <w:shd w:val="clear" w:color="000000" w:fill="FF0000"/>
            <w:vAlign w:val="center"/>
            <w:hideMark/>
          </w:tcPr>
          <w:p w14:paraId="2D2BD11E"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945" w:type="dxa"/>
            <w:tcBorders>
              <w:top w:val="nil"/>
              <w:left w:val="nil"/>
              <w:bottom w:val="single" w:sz="4" w:space="0" w:color="D9D9D9"/>
              <w:right w:val="single" w:sz="4" w:space="0" w:color="D9D9D9"/>
            </w:tcBorders>
            <w:shd w:val="clear" w:color="000000" w:fill="FF0000"/>
            <w:vAlign w:val="center"/>
            <w:hideMark/>
          </w:tcPr>
          <w:p w14:paraId="050249AD"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767" w:type="dxa"/>
            <w:tcBorders>
              <w:top w:val="nil"/>
              <w:left w:val="nil"/>
              <w:bottom w:val="nil"/>
              <w:right w:val="nil"/>
            </w:tcBorders>
            <w:shd w:val="clear" w:color="000000" w:fill="FFD966"/>
            <w:vAlign w:val="bottom"/>
            <w:hideMark/>
          </w:tcPr>
          <w:p w14:paraId="43D11E8B"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If obtains a cross border licence/waiver</w:t>
            </w:r>
          </w:p>
        </w:tc>
        <w:tc>
          <w:tcPr>
            <w:tcW w:w="740" w:type="dxa"/>
            <w:tcBorders>
              <w:top w:val="nil"/>
              <w:left w:val="single" w:sz="4" w:space="0" w:color="D9D9D9"/>
              <w:bottom w:val="single" w:sz="4" w:space="0" w:color="D9D9D9"/>
              <w:right w:val="single" w:sz="4" w:space="0" w:color="D9D9D9"/>
            </w:tcBorders>
            <w:shd w:val="clear" w:color="000000" w:fill="FF0000"/>
            <w:vAlign w:val="center"/>
            <w:hideMark/>
          </w:tcPr>
          <w:p w14:paraId="488D8E87"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c>
          <w:tcPr>
            <w:tcW w:w="719" w:type="dxa"/>
            <w:tcBorders>
              <w:top w:val="nil"/>
              <w:left w:val="nil"/>
              <w:bottom w:val="single" w:sz="4" w:space="0" w:color="D9D9D9"/>
              <w:right w:val="single" w:sz="4" w:space="0" w:color="D9D9D9"/>
            </w:tcBorders>
            <w:shd w:val="clear" w:color="000000" w:fill="FF0000"/>
            <w:vAlign w:val="center"/>
            <w:hideMark/>
          </w:tcPr>
          <w:p w14:paraId="79A1B2E5" w14:textId="77777777" w:rsidR="00D13693" w:rsidRPr="00F4333B" w:rsidRDefault="00D13693" w:rsidP="00EC16DF">
            <w:pPr>
              <w:spacing w:after="0" w:line="240" w:lineRule="auto"/>
              <w:ind w:left="0" w:firstLine="0"/>
              <w:jc w:val="left"/>
              <w:rPr>
                <w:rFonts w:ascii="Arial" w:hAnsi="Arial" w:cs="Arial"/>
                <w:sz w:val="16"/>
                <w:szCs w:val="16"/>
              </w:rPr>
            </w:pPr>
            <w:r w:rsidRPr="00F4333B">
              <w:rPr>
                <w:rFonts w:ascii="Arial" w:hAnsi="Arial" w:cs="Arial"/>
                <w:sz w:val="16"/>
                <w:szCs w:val="16"/>
              </w:rPr>
              <w:t>Regulated</w:t>
            </w:r>
          </w:p>
        </w:tc>
      </w:tr>
    </w:tbl>
    <w:p w14:paraId="30F8D4B2" w14:textId="77777777" w:rsidR="00D13693" w:rsidRPr="00F4333B" w:rsidRDefault="00D13693" w:rsidP="00D13693">
      <w:pPr>
        <w:spacing w:after="0" w:line="259" w:lineRule="auto"/>
        <w:jc w:val="left"/>
        <w:rPr>
          <w:sz w:val="16"/>
          <w:szCs w:val="16"/>
        </w:rPr>
      </w:pPr>
    </w:p>
    <w:p w14:paraId="52A0FA07" w14:textId="77777777" w:rsidR="00543FB3" w:rsidRPr="00D13693" w:rsidRDefault="00876A14"/>
    <w:sectPr w:rsidR="00543FB3" w:rsidRPr="00D13693" w:rsidSect="00F4333B">
      <w:footnotePr>
        <w:numRestart w:val="eachPage"/>
      </w:footnotePr>
      <w:pgSz w:w="16838" w:h="11906" w:orient="landscape"/>
      <w:pgMar w:top="1440" w:right="731" w:bottom="1437" w:left="1508" w:header="72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9E26A" w14:textId="77777777" w:rsidR="000F4D81" w:rsidRDefault="000F4D81" w:rsidP="00B662CB">
      <w:pPr>
        <w:spacing w:after="0" w:line="240" w:lineRule="auto"/>
      </w:pPr>
      <w:r>
        <w:separator/>
      </w:r>
    </w:p>
  </w:endnote>
  <w:endnote w:type="continuationSeparator" w:id="0">
    <w:p w14:paraId="0BB01AD4" w14:textId="77777777" w:rsidR="000F4D81" w:rsidRDefault="000F4D81" w:rsidP="00B66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279B4" w14:textId="77777777" w:rsidR="00C27435" w:rsidRDefault="00B55086">
    <w:pPr>
      <w:tabs>
        <w:tab w:val="center" w:pos="4622"/>
        <w:tab w:val="right" w:pos="9030"/>
      </w:tabs>
      <w:spacing w:after="35" w:line="259" w:lineRule="auto"/>
      <w:ind w:left="0" w:right="-105" w:firstLine="0"/>
      <w:jc w:val="left"/>
    </w:pPr>
    <w:r>
      <w:rPr>
        <w:sz w:val="16"/>
      </w:rPr>
      <w:t>10220102550-v</w:t>
    </w:r>
    <w:r w:rsidR="00876A14">
      <w:fldChar w:fldCharType="begin"/>
    </w:r>
    <w:r w:rsidR="00876A14">
      <w:instrText>NUMPAGES   \* MERGEFORMAT</w:instrText>
    </w:r>
    <w:r w:rsidR="00876A14">
      <w:fldChar w:fldCharType="separate"/>
    </w:r>
    <w:r>
      <w:rPr>
        <w:sz w:val="16"/>
      </w:rPr>
      <w:t>4</w:t>
    </w:r>
    <w:r w:rsidR="00876A14">
      <w:rPr>
        <w:sz w:val="16"/>
      </w:rPr>
      <w:fldChar w:fldCharType="end"/>
    </w:r>
    <w:r>
      <w:rPr>
        <w:sz w:val="16"/>
      </w:rPr>
      <w:t xml:space="preserve"> </w:t>
    </w:r>
    <w:r>
      <w:rPr>
        <w:sz w:val="16"/>
      </w:rPr>
      <w:tab/>
    </w:r>
    <w:r>
      <w:t xml:space="preserve">- </w:t>
    </w:r>
    <w:r>
      <w:fldChar w:fldCharType="begin"/>
    </w:r>
    <w:r>
      <w:instrText xml:space="preserve"> PAGE   \* MERGEFORMAT </w:instrText>
    </w:r>
    <w:r>
      <w:fldChar w:fldCharType="separate"/>
    </w:r>
    <w:r>
      <w:t>1</w:t>
    </w:r>
    <w:r>
      <w:fldChar w:fldCharType="end"/>
    </w:r>
    <w:r>
      <w:t xml:space="preserve"> - </w:t>
    </w:r>
    <w:r>
      <w:tab/>
    </w:r>
    <w:r>
      <w:rPr>
        <w:sz w:val="16"/>
      </w:rPr>
      <w:t xml:space="preserve">UK-3020-P-Open2 </w:t>
    </w:r>
  </w:p>
  <w:p w14:paraId="456398F3" w14:textId="77777777" w:rsidR="00C27435" w:rsidRDefault="00B55086">
    <w:pPr>
      <w:spacing w:after="0" w:line="259" w:lineRule="auto"/>
      <w:ind w:left="0" w:firstLine="0"/>
      <w:jc w:val="left"/>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6832" w14:textId="77777777" w:rsidR="00C27435" w:rsidRDefault="00B55086">
    <w:pPr>
      <w:tabs>
        <w:tab w:val="center" w:pos="4622"/>
        <w:tab w:val="right" w:pos="9030"/>
      </w:tabs>
      <w:spacing w:after="35" w:line="259" w:lineRule="auto"/>
      <w:ind w:left="0" w:right="-105" w:firstLine="0"/>
      <w:jc w:val="left"/>
    </w:pPr>
    <w:r>
      <w:rPr>
        <w:sz w:val="16"/>
      </w:rPr>
      <w:t>10220102550-v</w:t>
    </w:r>
    <w:r w:rsidR="00876A14">
      <w:fldChar w:fldCharType="begin"/>
    </w:r>
    <w:r w:rsidR="00876A14">
      <w:instrText>NUMPAGES   \* MERGEFORMAT</w:instrText>
    </w:r>
    <w:r w:rsidR="00876A14">
      <w:fldChar w:fldCharType="separate"/>
    </w:r>
    <w:r>
      <w:rPr>
        <w:sz w:val="16"/>
      </w:rPr>
      <w:t>4</w:t>
    </w:r>
    <w:r w:rsidR="00876A14">
      <w:rPr>
        <w:sz w:val="16"/>
      </w:rPr>
      <w:fldChar w:fldCharType="end"/>
    </w:r>
    <w:r>
      <w:rPr>
        <w:sz w:val="16"/>
      </w:rPr>
      <w:t xml:space="preserve"> </w:t>
    </w:r>
    <w:r>
      <w:rPr>
        <w:sz w:val="16"/>
      </w:rPr>
      <w:tab/>
    </w:r>
    <w:r>
      <w:t xml:space="preserve">- </w:t>
    </w:r>
    <w:r>
      <w:fldChar w:fldCharType="begin"/>
    </w:r>
    <w:r>
      <w:instrText xml:space="preserve"> PAGE   \* MERGEFORMAT </w:instrText>
    </w:r>
    <w:r>
      <w:fldChar w:fldCharType="separate"/>
    </w:r>
    <w:r>
      <w:t>1</w:t>
    </w:r>
    <w:r>
      <w:fldChar w:fldCharType="end"/>
    </w:r>
    <w:r>
      <w:t xml:space="preserve"> - </w:t>
    </w:r>
    <w:r>
      <w:tab/>
    </w:r>
    <w:r>
      <w:rPr>
        <w:sz w:val="16"/>
      </w:rPr>
      <w:t xml:space="preserve">UK-3020-P-Open2 </w:t>
    </w:r>
  </w:p>
  <w:p w14:paraId="5488051A" w14:textId="77777777" w:rsidR="00C27435" w:rsidRDefault="00B55086">
    <w:pPr>
      <w:spacing w:after="0" w:line="259" w:lineRule="auto"/>
      <w:ind w:left="0" w:firstLine="0"/>
      <w:jc w:val="left"/>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DCA9" w14:textId="77777777" w:rsidR="00C27435" w:rsidRDefault="00B55086">
    <w:pPr>
      <w:tabs>
        <w:tab w:val="center" w:pos="4622"/>
        <w:tab w:val="right" w:pos="9030"/>
      </w:tabs>
      <w:spacing w:after="35" w:line="259" w:lineRule="auto"/>
      <w:ind w:left="0" w:right="-105" w:firstLine="0"/>
      <w:jc w:val="left"/>
    </w:pPr>
    <w:r>
      <w:rPr>
        <w:sz w:val="16"/>
      </w:rPr>
      <w:t>10220102550-v</w:t>
    </w:r>
    <w:r w:rsidR="00876A14">
      <w:fldChar w:fldCharType="begin"/>
    </w:r>
    <w:r w:rsidR="00876A14">
      <w:instrText>NUMPAGES   \* MERGEFORMAT</w:instrText>
    </w:r>
    <w:r w:rsidR="00876A14">
      <w:fldChar w:fldCharType="separate"/>
    </w:r>
    <w:r>
      <w:rPr>
        <w:sz w:val="16"/>
      </w:rPr>
      <w:t>4</w:t>
    </w:r>
    <w:r w:rsidR="00876A14">
      <w:rPr>
        <w:sz w:val="16"/>
      </w:rPr>
      <w:fldChar w:fldCharType="end"/>
    </w:r>
    <w:r>
      <w:rPr>
        <w:sz w:val="16"/>
      </w:rPr>
      <w:t xml:space="preserve"> </w:t>
    </w:r>
    <w:r>
      <w:rPr>
        <w:sz w:val="16"/>
      </w:rPr>
      <w:tab/>
    </w:r>
    <w:r>
      <w:t xml:space="preserve">- </w:t>
    </w:r>
    <w:r>
      <w:fldChar w:fldCharType="begin"/>
    </w:r>
    <w:r>
      <w:instrText xml:space="preserve"> PAGE   \* MERGEFORMAT </w:instrText>
    </w:r>
    <w:r>
      <w:fldChar w:fldCharType="separate"/>
    </w:r>
    <w:r>
      <w:t>1</w:t>
    </w:r>
    <w:r>
      <w:fldChar w:fldCharType="end"/>
    </w:r>
    <w:r>
      <w:t xml:space="preserve"> - </w:t>
    </w:r>
    <w:r>
      <w:tab/>
    </w:r>
    <w:r>
      <w:rPr>
        <w:sz w:val="16"/>
      </w:rPr>
      <w:t xml:space="preserve">UK-3020-P-Open2 </w:t>
    </w:r>
  </w:p>
  <w:p w14:paraId="12E60A7A" w14:textId="77777777" w:rsidR="00C27435" w:rsidRDefault="00B55086">
    <w:pPr>
      <w:spacing w:after="0" w:line="259" w:lineRule="auto"/>
      <w:ind w:left="0" w:firstLine="0"/>
      <w:jc w:val="left"/>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F54D6" w14:textId="77777777" w:rsidR="000F4D81" w:rsidRDefault="000F4D81" w:rsidP="00B662CB">
      <w:pPr>
        <w:spacing w:after="0" w:line="240" w:lineRule="auto"/>
      </w:pPr>
      <w:r>
        <w:separator/>
      </w:r>
    </w:p>
  </w:footnote>
  <w:footnote w:type="continuationSeparator" w:id="0">
    <w:p w14:paraId="7A2F5574" w14:textId="77777777" w:rsidR="000F4D81" w:rsidRDefault="000F4D81" w:rsidP="00B662CB">
      <w:pPr>
        <w:spacing w:after="0" w:line="240" w:lineRule="auto"/>
      </w:pPr>
      <w:r>
        <w:continuationSeparator/>
      </w:r>
    </w:p>
  </w:footnote>
  <w:footnote w:id="1">
    <w:p w14:paraId="7D46CED4" w14:textId="529B8663" w:rsidR="00F63FA1" w:rsidRDefault="00B662CB" w:rsidP="00B662CB">
      <w:pPr>
        <w:pStyle w:val="FootnoteText"/>
        <w:ind w:left="0" w:firstLine="0"/>
      </w:pPr>
      <w:r>
        <w:rPr>
          <w:rStyle w:val="FootnoteReference"/>
        </w:rPr>
        <w:footnoteRef/>
      </w:r>
      <w:r>
        <w:t xml:space="preserve"> </w:t>
      </w:r>
      <w:r w:rsidRPr="00C522FC">
        <w:t>The LMA is the trade body for the European, Middle Eastern and African (</w:t>
      </w:r>
      <w:r>
        <w:t>"</w:t>
      </w:r>
      <w:r w:rsidRPr="00C522FC">
        <w:rPr>
          <w:b/>
          <w:bCs/>
        </w:rPr>
        <w:t>EMEA</w:t>
      </w:r>
      <w:r>
        <w:t>"</w:t>
      </w:r>
      <w:r w:rsidRPr="00C522FC">
        <w:t>) syndicated loan markets.</w:t>
      </w:r>
      <w:r>
        <w:t xml:space="preserve"> </w:t>
      </w:r>
      <w:r w:rsidRPr="00C522FC">
        <w:t xml:space="preserve">Its aim is to encourage liquidity both in the primary and secondary loan markets by promoting efficiency and transparency, as well as by developing standards of documentation and codes of market practice which are widely used and adopted. Membership of the LMA currently stands at </w:t>
      </w:r>
      <w:r w:rsidR="001C2256">
        <w:t>approximately</w:t>
      </w:r>
      <w:r w:rsidRPr="00C522FC">
        <w:t xml:space="preserve"> 750</w:t>
      </w:r>
      <w:r w:rsidRPr="00C522FC">
        <w:rPr>
          <w:b/>
          <w:bCs/>
        </w:rPr>
        <w:t xml:space="preserve"> </w:t>
      </w:r>
      <w:r w:rsidRPr="00C522FC">
        <w:t>organisations across</w:t>
      </w:r>
      <w:r w:rsidRPr="00C522FC">
        <w:rPr>
          <w:b/>
          <w:bCs/>
        </w:rPr>
        <w:t xml:space="preserve"> </w:t>
      </w:r>
      <w:r w:rsidRPr="00C522FC">
        <w:t>6</w:t>
      </w:r>
      <w:r w:rsidR="00B55086">
        <w:t>6</w:t>
      </w:r>
      <w:r w:rsidRPr="00C522FC">
        <w:t xml:space="preserve"> jurisdictions and consists of commercial and investment banks, institutional and other non-bank investors, borrowers, law firms, ratings agencies and services providers. Its membership also consists of regulatory and governmental bodies, including the European Commission.</w:t>
      </w:r>
    </w:p>
  </w:footnote>
  <w:footnote w:id="2">
    <w:p w14:paraId="0DB4BEED" w14:textId="11B3CA3D" w:rsidR="00B75957" w:rsidRDefault="00B75957" w:rsidP="00056AD2">
      <w:pPr>
        <w:pStyle w:val="FootnoteText"/>
        <w:ind w:left="0" w:firstLine="0"/>
      </w:pPr>
      <w:r>
        <w:rPr>
          <w:rStyle w:val="FootnoteReference"/>
        </w:rPr>
        <w:footnoteRef/>
      </w:r>
      <w:r w:rsidR="00E52EEE">
        <w:t xml:space="preserve"> </w:t>
      </w:r>
      <w:r w:rsidR="00E52EEE" w:rsidRPr="004015A5">
        <w:t>Principally including the following countries:</w:t>
      </w:r>
      <w:r w:rsidR="00E52EEE">
        <w:t xml:space="preserve"> Germany, </w:t>
      </w:r>
      <w:r w:rsidR="00E52EEE" w:rsidRPr="00870171">
        <w:t>€</w:t>
      </w:r>
      <w:r w:rsidR="00E52EEE">
        <w:t xml:space="preserve">180.82 billion; France, </w:t>
      </w:r>
      <w:r w:rsidR="00E52EEE" w:rsidRPr="00870171">
        <w:t>€</w:t>
      </w:r>
      <w:r w:rsidR="00E52EEE">
        <w:t xml:space="preserve">157.82 billion; the Netherlands, </w:t>
      </w:r>
      <w:r w:rsidR="00E52EEE" w:rsidRPr="00870171">
        <w:t>€</w:t>
      </w:r>
      <w:r w:rsidR="00E52EEE">
        <w:t xml:space="preserve">85.72 billion; Spain, </w:t>
      </w:r>
      <w:r w:rsidR="00E52EEE" w:rsidRPr="00870171">
        <w:t>€</w:t>
      </w:r>
      <w:r w:rsidR="00E52EEE">
        <w:t xml:space="preserve">66.58; and Italy, </w:t>
      </w:r>
      <w:r w:rsidR="00E52EEE" w:rsidRPr="00870171">
        <w:t>€</w:t>
      </w:r>
      <w:r w:rsidR="00E52EEE">
        <w:t>62.41 billion.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8794" w14:textId="77777777" w:rsidR="0076779B" w:rsidRDefault="00876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B676B" w14:textId="77777777" w:rsidR="0076779B" w:rsidRDefault="00876A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EBE8" w14:textId="77777777" w:rsidR="0076779B" w:rsidRDefault="00876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87C"/>
    <w:multiLevelType w:val="hybridMultilevel"/>
    <w:tmpl w:val="16565EEE"/>
    <w:lvl w:ilvl="0" w:tplc="0809000F">
      <w:start w:val="1"/>
      <w:numFmt w:val="decimal"/>
      <w:lvlText w:val="%1."/>
      <w:lvlJc w:val="left"/>
      <w:pPr>
        <w:ind w:left="720" w:hanging="360"/>
      </w:pPr>
    </w:lvl>
    <w:lvl w:ilvl="1" w:tplc="6EE254B2">
      <w:numFmt w:val="bullet"/>
      <w:lvlText w:val="•"/>
      <w:lvlJc w:val="left"/>
      <w:pPr>
        <w:ind w:left="1800" w:hanging="72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693"/>
    <w:rsid w:val="00013075"/>
    <w:rsid w:val="0002151A"/>
    <w:rsid w:val="000479BF"/>
    <w:rsid w:val="00056AD2"/>
    <w:rsid w:val="000E0B37"/>
    <w:rsid w:val="000F4D81"/>
    <w:rsid w:val="00101DF5"/>
    <w:rsid w:val="00147C13"/>
    <w:rsid w:val="00196C43"/>
    <w:rsid w:val="001C2256"/>
    <w:rsid w:val="00224F98"/>
    <w:rsid w:val="00232EB6"/>
    <w:rsid w:val="00260E85"/>
    <w:rsid w:val="002619D6"/>
    <w:rsid w:val="002878A5"/>
    <w:rsid w:val="002925BD"/>
    <w:rsid w:val="002A5896"/>
    <w:rsid w:val="002C42F3"/>
    <w:rsid w:val="003A3C0D"/>
    <w:rsid w:val="004015A5"/>
    <w:rsid w:val="0049557A"/>
    <w:rsid w:val="004C4DA1"/>
    <w:rsid w:val="00526E17"/>
    <w:rsid w:val="005B35AA"/>
    <w:rsid w:val="005B648E"/>
    <w:rsid w:val="0066673D"/>
    <w:rsid w:val="006963E2"/>
    <w:rsid w:val="006A4CA5"/>
    <w:rsid w:val="006E7818"/>
    <w:rsid w:val="00720BEA"/>
    <w:rsid w:val="007F36AC"/>
    <w:rsid w:val="00850D77"/>
    <w:rsid w:val="00876A14"/>
    <w:rsid w:val="008B2EB0"/>
    <w:rsid w:val="009020DA"/>
    <w:rsid w:val="00922A50"/>
    <w:rsid w:val="009B1C80"/>
    <w:rsid w:val="00A10311"/>
    <w:rsid w:val="00A972DF"/>
    <w:rsid w:val="00AC5C04"/>
    <w:rsid w:val="00B2599C"/>
    <w:rsid w:val="00B3495F"/>
    <w:rsid w:val="00B53455"/>
    <w:rsid w:val="00B55086"/>
    <w:rsid w:val="00B662CB"/>
    <w:rsid w:val="00B75957"/>
    <w:rsid w:val="00B84839"/>
    <w:rsid w:val="00BC75FB"/>
    <w:rsid w:val="00C61BB4"/>
    <w:rsid w:val="00C870A8"/>
    <w:rsid w:val="00CA15DE"/>
    <w:rsid w:val="00D13693"/>
    <w:rsid w:val="00D94899"/>
    <w:rsid w:val="00D952DA"/>
    <w:rsid w:val="00DC21BF"/>
    <w:rsid w:val="00E20415"/>
    <w:rsid w:val="00E52EEE"/>
    <w:rsid w:val="00E65911"/>
    <w:rsid w:val="00EB3E99"/>
    <w:rsid w:val="00F5521A"/>
    <w:rsid w:val="00F55482"/>
    <w:rsid w:val="00F63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146BB"/>
  <w15:chartTrackingRefBased/>
  <w15:docId w15:val="{B8D8FA2A-2689-4EAD-85CB-E359D5AC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693"/>
    <w:pPr>
      <w:spacing w:after="260" w:line="239" w:lineRule="auto"/>
      <w:ind w:left="370" w:hanging="370"/>
      <w:jc w:val="both"/>
    </w:pPr>
    <w:rPr>
      <w:rFonts w:ascii="Times New Roman" w:eastAsia="Times New Roman" w:hAnsi="Times New Roman" w:cs="Times New Roman"/>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6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693"/>
    <w:rPr>
      <w:rFonts w:ascii="Times New Roman" w:eastAsia="Times New Roman" w:hAnsi="Times New Roman" w:cs="Times New Roman"/>
      <w:color w:val="000000"/>
      <w:sz w:val="24"/>
      <w:lang w:eastAsia="en-GB"/>
    </w:rPr>
  </w:style>
  <w:style w:type="paragraph" w:styleId="ListParagraph">
    <w:name w:val="List Paragraph"/>
    <w:basedOn w:val="Normal"/>
    <w:uiPriority w:val="34"/>
    <w:qFormat/>
    <w:rsid w:val="00D13693"/>
    <w:pPr>
      <w:ind w:left="720"/>
      <w:contextualSpacing/>
    </w:pPr>
  </w:style>
  <w:style w:type="paragraph" w:styleId="BodyText">
    <w:name w:val="Body Text"/>
    <w:basedOn w:val="Normal"/>
    <w:link w:val="BodyTextChar"/>
    <w:qFormat/>
    <w:rsid w:val="00850D77"/>
    <w:pPr>
      <w:spacing w:after="240" w:line="240" w:lineRule="auto"/>
      <w:ind w:left="0" w:firstLine="0"/>
    </w:pPr>
    <w:rPr>
      <w:rFonts w:eastAsia="SimSun"/>
      <w:color w:val="auto"/>
      <w:szCs w:val="24"/>
      <w:lang w:bidi="ar-AE"/>
    </w:rPr>
  </w:style>
  <w:style w:type="character" w:customStyle="1" w:styleId="BodyTextChar">
    <w:name w:val="Body Text Char"/>
    <w:basedOn w:val="DefaultParagraphFont"/>
    <w:link w:val="BodyText"/>
    <w:rsid w:val="00850D77"/>
    <w:rPr>
      <w:rFonts w:ascii="Times New Roman" w:eastAsia="SimSun" w:hAnsi="Times New Roman" w:cs="Times New Roman"/>
      <w:sz w:val="24"/>
      <w:szCs w:val="24"/>
      <w:lang w:eastAsia="en-GB" w:bidi="ar-AE"/>
    </w:rPr>
  </w:style>
  <w:style w:type="paragraph" w:styleId="FootnoteText">
    <w:name w:val="footnote text"/>
    <w:basedOn w:val="Normal"/>
    <w:link w:val="FootnoteTextChar"/>
    <w:uiPriority w:val="99"/>
    <w:semiHidden/>
    <w:unhideWhenUsed/>
    <w:rsid w:val="00B662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62CB"/>
    <w:rPr>
      <w:rFonts w:ascii="Times New Roman" w:eastAsia="Times New Roman" w:hAnsi="Times New Roman" w:cs="Times New Roman"/>
      <w:color w:val="000000"/>
      <w:sz w:val="20"/>
      <w:szCs w:val="20"/>
      <w:lang w:eastAsia="en-GB"/>
    </w:rPr>
  </w:style>
  <w:style w:type="character" w:styleId="FootnoteReference">
    <w:name w:val="footnote reference"/>
    <w:basedOn w:val="DefaultParagraphFont"/>
    <w:uiPriority w:val="99"/>
    <w:semiHidden/>
    <w:unhideWhenUsed/>
    <w:rsid w:val="00B662CB"/>
    <w:rPr>
      <w:vertAlign w:val="superscript"/>
    </w:rPr>
  </w:style>
  <w:style w:type="character" w:styleId="Hyperlink">
    <w:name w:val="Hyperlink"/>
    <w:basedOn w:val="DefaultParagraphFont"/>
    <w:uiPriority w:val="99"/>
    <w:unhideWhenUsed/>
    <w:rsid w:val="000215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lex.europa.eu/legal-content/EN/TXT/?uri=CELEX%3A32013L0036"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nicholas.voisey@lma.eu.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r-lex.europa.eu/legal-content/EN/TXT/?uri=CELEX%3A32013L0036"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egal Document" ma:contentTypeID="0x010100F2BB114903E95F4AAAF81934A538E9A7010081671911822DDF4AB20474CFB5C0CE98" ma:contentTypeVersion="28" ma:contentTypeDescription="Stores client and matter information common to all Legal Documents" ma:contentTypeScope="" ma:versionID="709246827be7c364378907164c6bb78b">
  <xsd:schema xmlns:xsd="http://www.w3.org/2001/XMLSchema" xmlns:xs="http://www.w3.org/2001/XMLSchema" xmlns:p="http://schemas.microsoft.com/office/2006/metadata/properties" xmlns:ns2="55bad463-1eae-46c7-a223-6805cd011302" xmlns:ns3="fc224057-26d8-4a0d-be6d-8c435aa8ffb1" targetNamespace="http://schemas.microsoft.com/office/2006/metadata/properties" ma:root="true" ma:fieldsID="b4576c2282c8a55dc65c1d8e4e6e4383" ns2:_="" ns3:_="">
    <xsd:import namespace="55bad463-1eae-46c7-a223-6805cd011302"/>
    <xsd:import namespace="fc224057-26d8-4a0d-be6d-8c435aa8ffb1"/>
    <xsd:element name="properties">
      <xsd:complexType>
        <xsd:sequence>
          <xsd:element name="documentManagement">
            <xsd:complexType>
              <xsd:all>
                <xsd:element ref="ns2:DocumentOwner" minOccurs="0"/>
                <xsd:element ref="ns2:LegacyDocumentID" minOccurs="0"/>
                <xsd:element ref="ns2:LegacyInformation" minOccurs="0"/>
                <xsd:element ref="ns2:KeyDocument" minOccurs="0"/>
                <xsd:element ref="ns2:MatterNumber" minOccurs="0"/>
                <xsd:element ref="ns2:MatterName" minOccurs="0"/>
                <xsd:element ref="ns2:MatterStatus" minOccurs="0"/>
                <xsd:element ref="ns2:ClientNumber" minOccurs="0"/>
                <xsd:element ref="ns2:ClientName" minOccurs="0"/>
                <xsd:element ref="ns2:ClientReference" minOccurs="0"/>
                <xsd:element ref="ns2:CCOffice" minOccurs="0"/>
                <xsd:element ref="ns2:PracticeArea" minOccurs="0"/>
                <xsd:element ref="ns2:PracticeGroup" minOccurs="0"/>
                <xsd:element ref="ns2:DocumentIcons" minOccurs="0"/>
                <xsd:element ref="ns2:WorkType" minOccurs="0"/>
                <xsd:element ref="ns2:SectorTaxHTField0" minOccurs="0"/>
                <xsd:element ref="ns2:ConfigListSynch" minOccurs="0"/>
                <xsd:element ref="ns2:LegalDocumentTypeTaxHTField0" minOccurs="0"/>
                <xsd:element ref="ns2:_dlc_DocIdUrl" minOccurs="0"/>
                <xsd:element ref="ns2:LegalTopicTaxHTField0" minOccurs="0"/>
                <xsd:element ref="ns2:JurisdictionTaxHTField0" minOccurs="0"/>
                <xsd:element ref="ns2:_dlc_DocIdPersistId" minOccurs="0"/>
                <xsd:element ref="ns2:_dlc_DocId" minOccurs="0"/>
                <xsd:element ref="ns2:TaxCatchAll" minOccurs="0"/>
                <xsd:element ref="ns2:TaxCatchAllLabe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ad463-1eae-46c7-a223-6805cd011302" elementFormDefault="qualified">
    <xsd:import namespace="http://schemas.microsoft.com/office/2006/documentManagement/types"/>
    <xsd:import namespace="http://schemas.microsoft.com/office/infopath/2007/PartnerControls"/>
    <xsd:element name="DocumentOwner" ma:index="4" nillable="true" ma:displayName="Document Owner" ma:indexed="true" ma:list="UserInfo" ma:SearchPeopleOnly="false"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DocumentID" ma:index="5" nillable="true" ma:displayName="Legacy Document ID" ma:internalName="LegacyDocumentID" ma:readOnly="false">
      <xsd:simpleType>
        <xsd:restriction base="dms:Text">
          <xsd:maxLength value="255"/>
        </xsd:restriction>
      </xsd:simpleType>
    </xsd:element>
    <xsd:element name="LegacyInformation" ma:index="6" nillable="true" ma:displayName="Legacy Information" ma:internalName="LegacyInformation" ma:readOnly="false">
      <xsd:simpleType>
        <xsd:restriction base="dms:Note"/>
      </xsd:simpleType>
    </xsd:element>
    <xsd:element name="KeyDocument" ma:index="7" nillable="true" ma:displayName="Key Document" ma:default="0" ma:indexed="true" ma:internalName="KeyDocument" ma:readOnly="false">
      <xsd:simpleType>
        <xsd:restriction base="dms:Boolean"/>
      </xsd:simpleType>
    </xsd:element>
    <xsd:element name="MatterNumber" ma:index="11" nillable="true" ma:displayName="Matter Number" ma:default="UK-3999-LMA" ma:internalName="MatterNumber" ma:readOnly="false">
      <xsd:simpleType>
        <xsd:restriction base="dms:Text">
          <xsd:maxLength value="15"/>
        </xsd:restriction>
      </xsd:simpleType>
    </xsd:element>
    <xsd:element name="MatterName" ma:index="12" nillable="true" ma:displayName="Matter Name" ma:default="UK-3999-LMA" ma:internalName="MatterName" ma:readOnly="false">
      <xsd:simpleType>
        <xsd:restriction base="dms:Text">
          <xsd:maxLength value="255"/>
        </xsd:restriction>
      </xsd:simpleType>
    </xsd:element>
    <xsd:element name="MatterStatus" ma:index="13" nillable="true" ma:displayName="Matter Status" ma:default="Current" ma:format="Dropdown" ma:internalName="MatterStatus" ma:readOnly="false">
      <xsd:simpleType>
        <xsd:restriction base="dms:Choice">
          <xsd:enumeration value="Current"/>
          <xsd:enumeration value="Dormant"/>
        </xsd:restriction>
      </xsd:simpleType>
    </xsd:element>
    <xsd:element name="ClientNumber" ma:index="14" nillable="true" ma:displayName="Client Number" ma:internalName="ClientNumber" ma:readOnly="false">
      <xsd:simpleType>
        <xsd:restriction base="dms:Text">
          <xsd:maxLength value="50"/>
        </xsd:restriction>
      </xsd:simpleType>
    </xsd:element>
    <xsd:element name="ClientName" ma:index="15" nillable="true" ma:displayName="Client Name" ma:internalName="ClientName" ma:readOnly="false">
      <xsd:simpleType>
        <xsd:restriction base="dms:Text">
          <xsd:maxLength value="255"/>
        </xsd:restriction>
      </xsd:simpleType>
    </xsd:element>
    <xsd:element name="ClientReference" ma:index="16" nillable="true" ma:displayName="Client Reference" ma:internalName="ClientReference" ma:readOnly="false">
      <xsd:simpleType>
        <xsd:restriction base="dms:Text">
          <xsd:maxLength value="255"/>
        </xsd:restriction>
      </xsd:simpleType>
    </xsd:element>
    <xsd:element name="CCOffice" ma:index="17" nillable="true" ma:displayName="CC Office" ma:default="UK" ma:internalName="CCOffice" ma:readOnly="false">
      <xsd:simpleType>
        <xsd:restriction base="dms:Text">
          <xsd:maxLength value="255"/>
        </xsd:restriction>
      </xsd:simpleType>
    </xsd:element>
    <xsd:element name="PracticeArea" ma:index="18" nillable="true" ma:displayName="Practice Area" ma:default="Capital Markets" ma:internalName="PracticeArea" ma:readOnly="false">
      <xsd:simpleType>
        <xsd:restriction base="dms:Text">
          <xsd:maxLength value="255"/>
        </xsd:restriction>
      </xsd:simpleType>
    </xsd:element>
    <xsd:element name="PracticeGroup" ma:index="19" nillable="true" ma:displayName="Practice Group" ma:default="B&amp;F Central Support" ma:internalName="PracticeGroup" ma:readOnly="false">
      <xsd:simpleType>
        <xsd:restriction base="dms:Text">
          <xsd:maxLength value="255"/>
        </xsd:restriction>
      </xsd:simpleType>
    </xsd:element>
    <xsd:element name="DocumentIcons" ma:index="21" nillable="true" ma:displayName="Relationship Icons" ma:internalName="DocumentIcons" ma:readOnly="true">
      <xsd:simpleType>
        <xsd:restriction base="dms:Note"/>
      </xsd:simpleType>
    </xsd:element>
    <xsd:element name="WorkType" ma:index="22" nillable="true" ma:displayName="Work Type" ma:internalName="WorkType" ma:readOnly="false">
      <xsd:simpleType>
        <xsd:restriction base="dms:Text">
          <xsd:maxLength value="255"/>
        </xsd:restriction>
      </xsd:simpleType>
    </xsd:element>
    <xsd:element name="SectorTaxHTField0" ma:index="25" nillable="true" ma:displayName="Sector_0" ma:hidden="true" ma:internalName="SectorTaxHTField0" ma:readOnly="false">
      <xsd:simpleType>
        <xsd:restriction base="dms:Note"/>
      </xsd:simpleType>
    </xsd:element>
    <xsd:element name="ConfigListSynch" ma:index="26" nillable="true" ma:displayName="Config List Synch" ma:format="DateTime" ma:hidden="true" ma:internalName="ConfigListSynch" ma:readOnly="false">
      <xsd:simpleType>
        <xsd:restriction base="dms:DateTime"/>
      </xsd:simpleType>
    </xsd:element>
    <xsd:element name="LegalDocumentTypeTaxHTField0" ma:index="27" nillable="true" ma:displayName="LegalDocumentType_0" ma:hidden="true" ma:internalName="LegalDocumentTypeTaxHTField0" ma:readOnly="false">
      <xsd:simpleType>
        <xsd:restriction base="dms:Note"/>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LegalTopicTaxHTField0" ma:index="30" nillable="true" ma:displayName="LegalTopic_0" ma:hidden="true" ma:internalName="LegalTopicTaxHTField0" ma:readOnly="false">
      <xsd:simpleType>
        <xsd:restriction base="dms:Note"/>
      </xsd:simpleType>
    </xsd:element>
    <xsd:element name="JurisdictionTaxHTField0" ma:index="32" nillable="true" ma:displayName="Jurisdiction_0" ma:hidden="true" ma:internalName="JurisdictionTaxHTField0" ma:readOnly="false">
      <xsd:simpleType>
        <xsd:restriction base="dms:Note"/>
      </xsd:simpleType>
    </xsd:element>
    <xsd:element name="_dlc_DocIdPersistId" ma:index="33" nillable="true" ma:displayName="Persist ID" ma:description="Keep ID on add." ma:hidden="true" ma:internalName="_dlc_DocIdPersistId" ma:readOnly="false">
      <xsd:simpleType>
        <xsd:restriction base="dms:Boolean"/>
      </xsd:simpleType>
    </xsd:element>
    <xsd:element name="_dlc_DocId" ma:index="34" nillable="true" ma:displayName="Document ID Value" ma:description="The value of the document ID assigned to this item." ma:indexed="true" ma:internalName="_dlc_DocId" ma:readOnly="true">
      <xsd:simpleType>
        <xsd:restriction base="dms:Text"/>
      </xsd:simpleType>
    </xsd:element>
    <xsd:element name="TaxCatchAll" ma:index="35" nillable="true" ma:displayName="Taxonomy Catch All Column" ma:hidden="true" ma:list="{b8867fae-5af2-4b50-b4ce-f2169d8ada25}" ma:internalName="TaxCatchAll" ma:readOnly="false" ma:showField="CatchAllData" ma:web="55bad463-1eae-46c7-a223-6805cd011302">
      <xsd:complexType>
        <xsd:complexContent>
          <xsd:extension base="dms:MultiChoiceLookup">
            <xsd:sequence>
              <xsd:element name="Value" type="dms:Lookup" maxOccurs="unbounded" minOccurs="0" nillable="true"/>
            </xsd:sequence>
          </xsd:extension>
        </xsd:complexContent>
      </xsd:complexType>
    </xsd:element>
    <xsd:element name="TaxCatchAllLabel" ma:index="36" nillable="true" ma:displayName="Taxonomy Catch All Column1" ma:hidden="true" ma:list="{b8867fae-5af2-4b50-b4ce-f2169d8ada25}" ma:internalName="TaxCatchAllLabel" ma:readOnly="false" ma:showField="CatchAllDataLabel" ma:web="55bad463-1eae-46c7-a223-6805cd011302">
      <xsd:complexType>
        <xsd:complexContent>
          <xsd:extension base="dms:MultiChoiceLookup">
            <xsd:sequence>
              <xsd:element name="Value" type="dms:Lookup" maxOccurs="unbounded" minOccurs="0" nillable="true"/>
            </xsd:sequence>
          </xsd:extension>
        </xsd:complexContent>
      </xsd:complexType>
    </xsd:element>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224057-26d8-4a0d-be6d-8c435aa8ffb1" elementFormDefault="qualified">
    <xsd:import namespace="http://schemas.microsoft.com/office/2006/documentManagement/types"/>
    <xsd:import namespace="http://schemas.microsoft.com/office/infopath/2007/PartnerControls"/>
    <xsd:element name="MediaServiceMetadata" ma:index="39" nillable="true" ma:displayName="MediaServiceMetadata" ma:hidden="true" ma:internalName="MediaServiceMetadata" ma:readOnly="true">
      <xsd:simpleType>
        <xsd:restriction base="dms:Note"/>
      </xsd:simpleType>
    </xsd:element>
    <xsd:element name="MediaServiceFastMetadata" ma:index="40" nillable="true" ma:displayName="MediaServiceFastMetadata" ma:hidden="true" ma:internalName="MediaServiceFastMetadata" ma:readOnly="true">
      <xsd:simpleType>
        <xsd:restriction base="dms:Note"/>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ServiceDateTaken" ma:index="43" nillable="true" ma:displayName="MediaServiceDateTaken" ma:hidden="true" ma:internalName="MediaServiceDateTaken" ma:readOnly="true">
      <xsd:simpleType>
        <xsd:restriction base="dms:Text"/>
      </xsd:simpleType>
    </xsd:element>
    <xsd:element name="MediaServiceAutoTags" ma:index="44" nillable="true" ma:displayName="Tags" ma:internalName="MediaServiceAutoTags" ma:readOnly="true">
      <xsd:simpleType>
        <xsd:restriction base="dms:Text"/>
      </xsd:simpleType>
    </xsd:element>
    <xsd:element name="MediaServiceOCR" ma:index="45" nillable="true" ma:displayName="Extracted Text" ma:internalName="MediaServiceOCR" ma:readOnly="true">
      <xsd:simpleType>
        <xsd:restriction base="dms:Note">
          <xsd:maxLength value="255"/>
        </xsd:restriction>
      </xsd:simple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EventHashCode" ma:index="4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urisdictionTaxHTField0 xmlns="55bad463-1eae-46c7-a223-6805cd011302" xsi:nil="true"/>
    <LegalDocumentTypeTaxHTField0 xmlns="55bad463-1eae-46c7-a223-6805cd011302" xsi:nil="true"/>
    <_dlc_DocId xmlns="55bad463-1eae-46c7-a223-6805cd011302">LMASITE-2108511252-13798</_dlc_DocId>
    <KeyDocument xmlns="55bad463-1eae-46c7-a223-6805cd011302">false</KeyDocument>
    <PracticeArea xmlns="55bad463-1eae-46c7-a223-6805cd011302">Capital Markets</PracticeArea>
    <DocumentOwner xmlns="55bad463-1eae-46c7-a223-6805cd011302">
      <UserInfo>
        <DisplayName/>
        <AccountId xsi:nil="true"/>
        <AccountType/>
      </UserInfo>
    </DocumentOwner>
    <TaxCatchAll xmlns="55bad463-1eae-46c7-a223-6805cd011302" xsi:nil="true"/>
    <LegalTopicTaxHTField0 xmlns="55bad463-1eae-46c7-a223-6805cd011302" xsi:nil="true"/>
    <LegacyDocumentID xmlns="55bad463-1eae-46c7-a223-6805cd011302" xsi:nil="true"/>
    <ClientNumber xmlns="55bad463-1eae-46c7-a223-6805cd011302" xsi:nil="true"/>
    <SectorTaxHTField0 xmlns="55bad463-1eae-46c7-a223-6805cd011302" xsi:nil="true"/>
    <MatterNumber xmlns="55bad463-1eae-46c7-a223-6805cd011302">UK-3999-LMA</MatterNumber>
    <ClientName xmlns="55bad463-1eae-46c7-a223-6805cd011302" xsi:nil="true"/>
    <CCOffice xmlns="55bad463-1eae-46c7-a223-6805cd011302">ln</CCOffice>
    <MatterName xmlns="55bad463-1eae-46c7-a223-6805cd011302">UK-3999-LMA</MatterName>
    <ClientReference xmlns="55bad463-1eae-46c7-a223-6805cd011302" xsi:nil="true"/>
    <PracticeGroup xmlns="55bad463-1eae-46c7-a223-6805cd011302">B&amp;F Central Support</PracticeGroup>
    <_dlc_DocIdPersistId xmlns="55bad463-1eae-46c7-a223-6805cd011302" xsi:nil="true"/>
    <WorkType xmlns="55bad463-1eae-46c7-a223-6805cd011302" xsi:nil="true"/>
    <MatterStatus xmlns="55bad463-1eae-46c7-a223-6805cd011302">Current</MatterStatus>
    <LegacyInformation xmlns="55bad463-1eae-46c7-a223-6805cd011302" xsi:nil="true"/>
    <ConfigListSynch xmlns="55bad463-1eae-46c7-a223-6805cd011302" xsi:nil="true"/>
    <_dlc_DocIdUrl xmlns="55bad463-1eae-46c7-a223-6805cd011302">
      <Url>https://cliffordchance.sharepoint.com/sites/UK-3999-LMA/_layouts/15/DocIdRedir.aspx?ID=LMASITE-2108511252-13798</Url>
      <Description>LMASITE-2108511252-13798</Description>
    </_dlc_DocIdUrl>
    <TaxCatchAllLabel xmlns="55bad463-1eae-46c7-a223-6805cd011302"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EE875-DBA1-444D-8191-CCF5F530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ad463-1eae-46c7-a223-6805cd011302"/>
    <ds:schemaRef ds:uri="fc224057-26d8-4a0d-be6d-8c435aa8f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FCA5CF-FFD9-496E-AB4E-7193B9167B5B}">
  <ds:schemaRefs>
    <ds:schemaRef ds:uri="http://schemas.microsoft.com/sharepoint/events"/>
  </ds:schemaRefs>
</ds:datastoreItem>
</file>

<file path=customXml/itemProps3.xml><?xml version="1.0" encoding="utf-8"?>
<ds:datastoreItem xmlns:ds="http://schemas.openxmlformats.org/officeDocument/2006/customXml" ds:itemID="{1FA895F7-518B-413C-8A17-381F368F50C8}">
  <ds:schemaRefs>
    <ds:schemaRef ds:uri="http://schemas.microsoft.com/sharepoint/v3/contenttype/forms"/>
  </ds:schemaRefs>
</ds:datastoreItem>
</file>

<file path=customXml/itemProps4.xml><?xml version="1.0" encoding="utf-8"?>
<ds:datastoreItem xmlns:ds="http://schemas.openxmlformats.org/officeDocument/2006/customXml" ds:itemID="{5C441EDF-5FA8-4070-A410-F5520954F62D}">
  <ds:schemaRefs>
    <ds:schemaRef ds:uri="http://schemas.microsoft.com/office/2006/metadata/properties"/>
    <ds:schemaRef ds:uri="http://schemas.microsoft.com/office/infopath/2007/PartnerControls"/>
    <ds:schemaRef ds:uri="55bad463-1eae-46c7-a223-6805cd011302"/>
  </ds:schemaRefs>
</ds:datastoreItem>
</file>

<file path=customXml/itemProps5.xml><?xml version="1.0" encoding="utf-8"?>
<ds:datastoreItem xmlns:ds="http://schemas.openxmlformats.org/officeDocument/2006/customXml" ds:itemID="{E284E9E8-BA5C-45EC-8BB1-9D9C8A046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2243</Words>
  <Characters>12787</Characters>
  <Application>Microsoft Office Word</Application>
  <DocSecurity>0</DocSecurity>
  <Lines>106</Lines>
  <Paragraphs>29</Paragraphs>
  <ScaleCrop>false</ScaleCrop>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$Monaghan, Elizabeth (Ext-LMA-LON)</dc:creator>
  <cp:keywords/>
  <dc:description/>
  <cp:lastModifiedBy>$Hutchings, Melanie (Ext-LMA-LON)</cp:lastModifiedBy>
  <cp:revision>2</cp:revision>
  <dcterms:created xsi:type="dcterms:W3CDTF">2022-10-06T15:41:00Z</dcterms:created>
  <dcterms:modified xsi:type="dcterms:W3CDTF">2022-10-06T15:41:00Z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Language">
    <vt:lpwstr>en-GB</vt:lpwstr>
  </property>
  <property fmtid="{D5CDD505-2E9C-101B-9397-08002B2CF9AE}" pid="3" name="CCOffice">
    <vt:lpwstr>ln</vt:lpwstr>
  </property>
  <property fmtid="{D5CDD505-2E9C-101B-9397-08002B2CF9AE}" pid="4" name="ContentTypeId">
    <vt:lpwstr>0x010100F2BB114903E95F4AAAF81934A538E9A7010081671911822DDF4AB20474CFB5C0CE98</vt:lpwstr>
  </property>
  <property fmtid="{D5CDD505-2E9C-101B-9397-08002B2CF9AE}" pid="5" name="_dlc_DocIdItemGuid">
    <vt:lpwstr>bd65e370-d4ba-4199-bf6e-c8e31baa598d</vt:lpwstr>
  </property>
  <property fmtid="{D5CDD505-2E9C-101B-9397-08002B2CF9AE}" pid="6" name="Jurisdiction">
    <vt:lpwstr/>
  </property>
  <property fmtid="{D5CDD505-2E9C-101B-9397-08002B2CF9AE}" pid="7" name="LegalDocumentType">
    <vt:lpwstr/>
  </property>
  <property fmtid="{D5CDD505-2E9C-101B-9397-08002B2CF9AE}" pid="8" name="LegalTopic">
    <vt:lpwstr/>
  </property>
  <property fmtid="{D5CDD505-2E9C-101B-9397-08002B2CF9AE}" pid="9" name="Sector">
    <vt:lpwstr/>
  </property>
  <property fmtid="{D5CDD505-2E9C-101B-9397-08002B2CF9AE}" pid="10" name="MediaServiceImageTags">
    <vt:lpwstr/>
  </property>
  <property fmtid="{D5CDD505-2E9C-101B-9397-08002B2CF9AE}" pid="11" name="lcf76f155ced4ddcb4097134ff3c332f">
    <vt:lpwstr/>
  </property>
</Properties>
</file>